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1B1" w:rsidRPr="00C90272" w:rsidRDefault="00835DCB" w:rsidP="003876F6">
      <w:pPr>
        <w:rPr>
          <w:rFonts w:ascii="Bookman Old Style" w:hAnsi="Bookman Old Style"/>
          <w:b/>
          <w:iCs/>
          <w:sz w:val="32"/>
          <w:szCs w:val="32"/>
        </w:rPr>
      </w:pPr>
      <w:r w:rsidRPr="00C90272">
        <w:rPr>
          <w:rFonts w:ascii="Bookman Old Style" w:hAnsi="Bookman Old Style"/>
          <w:b/>
          <w:iCs/>
          <w:sz w:val="32"/>
          <w:szCs w:val="32"/>
        </w:rPr>
        <w:t>Firm Supervisory Board during Pandemic: Are they Still Trusted?</w:t>
      </w:r>
    </w:p>
    <w:p w:rsidR="00D2060F" w:rsidRPr="00C90272" w:rsidRDefault="00D2060F" w:rsidP="003876F6">
      <w:pPr>
        <w:rPr>
          <w:rFonts w:ascii="Bookman Old Style" w:hAnsi="Bookman Old Style"/>
          <w:iCs/>
        </w:rPr>
      </w:pPr>
    </w:p>
    <w:p w:rsidR="00752A4E" w:rsidRPr="00C90272" w:rsidRDefault="00752A4E" w:rsidP="003876F6">
      <w:pPr>
        <w:rPr>
          <w:rFonts w:ascii="Bookman Old Style" w:hAnsi="Bookman Old Style"/>
          <w:b/>
          <w:bCs/>
          <w:lang w:val="nl-NL"/>
        </w:rPr>
      </w:pPr>
    </w:p>
    <w:p w:rsidR="00D13B03" w:rsidRPr="00C90272" w:rsidRDefault="00835DCB" w:rsidP="003876F6">
      <w:pPr>
        <w:rPr>
          <w:rFonts w:ascii="Bookman Old Style" w:hAnsi="Bookman Old Style"/>
          <w:b/>
          <w:bCs/>
          <w:caps/>
          <w:lang w:val="nl-NL"/>
        </w:rPr>
      </w:pPr>
      <w:r w:rsidRPr="00C90272">
        <w:rPr>
          <w:rFonts w:ascii="Bookman Old Style" w:hAnsi="Bookman Old Style"/>
          <w:b/>
          <w:bCs/>
          <w:lang w:val="nl-NL"/>
        </w:rPr>
        <w:t>Arif Budi Satrio</w:t>
      </w:r>
    </w:p>
    <w:p w:rsidR="00682B43" w:rsidRPr="00C90272" w:rsidRDefault="00835DCB" w:rsidP="003876F6">
      <w:pPr>
        <w:rPr>
          <w:rFonts w:ascii="Bookman Old Style" w:hAnsi="Bookman Old Style"/>
        </w:rPr>
      </w:pPr>
      <w:r w:rsidRPr="00C90272">
        <w:rPr>
          <w:rFonts w:ascii="Bookman Old Style" w:hAnsi="Bookman Old Style"/>
        </w:rPr>
        <w:t>Faculty of Economics and Business, Universitas Widya Dharma Pontianak, Indonesia</w:t>
      </w:r>
    </w:p>
    <w:p w:rsidR="00F87E89" w:rsidRPr="00C90272" w:rsidRDefault="00F87E89" w:rsidP="003876F6">
      <w:pPr>
        <w:rPr>
          <w:rFonts w:ascii="Bookman Old Style" w:hAnsi="Bookman Old Style"/>
        </w:rPr>
      </w:pPr>
    </w:p>
    <w:p w:rsidR="00752A4E" w:rsidRPr="00C90272" w:rsidRDefault="00835DCB" w:rsidP="003876F6">
      <w:pPr>
        <w:rPr>
          <w:rFonts w:ascii="Bookman Old Style" w:hAnsi="Bookman Old Style"/>
          <w:b/>
          <w:bCs/>
          <w:caps/>
          <w:lang w:val="nl-NL"/>
        </w:rPr>
      </w:pPr>
      <w:r w:rsidRPr="00C90272">
        <w:rPr>
          <w:rFonts w:ascii="Bookman Old Style" w:hAnsi="Bookman Old Style"/>
          <w:b/>
          <w:bCs/>
          <w:lang w:val="nl-NL"/>
        </w:rPr>
        <w:t>Maria Kontesa</w:t>
      </w:r>
    </w:p>
    <w:p w:rsidR="00752A4E" w:rsidRPr="00C90272" w:rsidRDefault="00835DCB" w:rsidP="003876F6">
      <w:pPr>
        <w:rPr>
          <w:rFonts w:ascii="Bookman Old Style" w:hAnsi="Bookman Old Style"/>
        </w:rPr>
      </w:pPr>
      <w:r w:rsidRPr="00C90272">
        <w:rPr>
          <w:rFonts w:ascii="Bookman Old Style" w:hAnsi="Bookman Old Style"/>
        </w:rPr>
        <w:t>Faculty of Economics and Business, Universitas Widya Dharma Pontianak, Indonesia</w:t>
      </w:r>
    </w:p>
    <w:p w:rsidR="00F87E89" w:rsidRPr="00C90272" w:rsidRDefault="00F87E89" w:rsidP="003876F6">
      <w:pPr>
        <w:rPr>
          <w:rFonts w:ascii="Bookman Old Style" w:hAnsi="Bookman Old Style"/>
          <w:b/>
        </w:rPr>
      </w:pPr>
    </w:p>
    <w:p w:rsidR="00D13B03" w:rsidRPr="00C90272" w:rsidRDefault="00D13B03" w:rsidP="003876F6">
      <w:pPr>
        <w:rPr>
          <w:rFonts w:ascii="Bookman Old Style" w:hAnsi="Bookman Old Style"/>
          <w:iCs/>
        </w:rPr>
      </w:pPr>
    </w:p>
    <w:p w:rsidR="00D13B03" w:rsidRPr="00C90272" w:rsidRDefault="00C36DAD" w:rsidP="003876F6">
      <w:pPr>
        <w:ind w:left="1134"/>
        <w:jc w:val="both"/>
        <w:rPr>
          <w:rFonts w:ascii="Bookman Old Style" w:hAnsi="Bookman Old Style"/>
          <w:b/>
        </w:rPr>
      </w:pPr>
      <w:r w:rsidRPr="00C90272">
        <w:rPr>
          <w:rFonts w:ascii="Bookman Old Style" w:hAnsi="Bookman Old Style"/>
          <w:b/>
          <w:i/>
        </w:rPr>
        <w:t>Abstract</w:t>
      </w:r>
      <w:r w:rsidR="00752A4E" w:rsidRPr="00C90272">
        <w:rPr>
          <w:rFonts w:ascii="Bookman Old Style" w:hAnsi="Bookman Old Style"/>
          <w:b/>
        </w:rPr>
        <w:t>---</w:t>
      </w:r>
      <w:r w:rsidR="00835DCB" w:rsidRPr="00C90272">
        <w:rPr>
          <w:rFonts w:ascii="Bookman Old Style" w:hAnsi="Bookman Old Style"/>
          <w:w w:val="105"/>
        </w:rPr>
        <w:t>This study investigates public trust in the firm supervisory board, an essential indicator of good corporate governance in some literature. By using 474 non-financial entities in Indonesia during the COVID-19 pandemic and considering a number of firm fundamental factors, this study documents evidence of irrational investor behavior during the pandemic. Investors seem to panic and respond negatively to financial information. However, the public still believes in the independent supervisory board's contribution to the firm. This effect is getting stronger with the presence of an increasingly dominant supervisory board. These results</w:t>
      </w:r>
      <w:r w:rsidR="00835DCB" w:rsidRPr="00C90272">
        <w:rPr>
          <w:rFonts w:ascii="Bookman Old Style" w:hAnsi="Bookman Old Style"/>
          <w:w w:val="105"/>
          <w:lang w:val="id-ID"/>
        </w:rPr>
        <w:t xml:space="preserve"> are still robust</w:t>
      </w:r>
      <w:r w:rsidR="00835DCB" w:rsidRPr="00C90272">
        <w:rPr>
          <w:rFonts w:ascii="Bookman Old Style" w:hAnsi="Bookman Old Style"/>
          <w:w w:val="105"/>
        </w:rPr>
        <w:t xml:space="preserve"> during repeated testing. This empirical evidence is useful to regulators in emerging markets, industry, and academia.</w:t>
      </w:r>
    </w:p>
    <w:p w:rsidR="0031171E" w:rsidRPr="00C90272" w:rsidRDefault="0031171E" w:rsidP="003876F6">
      <w:pPr>
        <w:ind w:left="1134"/>
        <w:contextualSpacing/>
        <w:rPr>
          <w:rFonts w:ascii="Bookman Old Style" w:hAnsi="Bookman Old Style"/>
          <w:b/>
          <w:i/>
        </w:rPr>
      </w:pPr>
    </w:p>
    <w:p w:rsidR="00FF2E11" w:rsidRPr="00C90272" w:rsidRDefault="00D13B03" w:rsidP="00835DCB">
      <w:pPr>
        <w:ind w:left="1134"/>
        <w:contextualSpacing/>
        <w:rPr>
          <w:rFonts w:ascii="Bookman Old Style" w:hAnsi="Bookman Old Style"/>
          <w:bCs/>
        </w:rPr>
      </w:pPr>
      <w:r w:rsidRPr="00C90272">
        <w:rPr>
          <w:rFonts w:ascii="Bookman Old Style" w:hAnsi="Bookman Old Style"/>
          <w:b/>
          <w:i/>
        </w:rPr>
        <w:t>Keywords</w:t>
      </w:r>
      <w:r w:rsidR="00752A4E" w:rsidRPr="00C90272">
        <w:rPr>
          <w:rFonts w:ascii="Bookman Old Style" w:hAnsi="Bookman Old Style"/>
          <w:b/>
        </w:rPr>
        <w:t>---</w:t>
      </w:r>
      <w:r w:rsidR="00835DCB" w:rsidRPr="00C90272">
        <w:rPr>
          <w:rFonts w:ascii="Bookman Old Style" w:hAnsi="Bookman Old Style"/>
          <w:bCs/>
        </w:rPr>
        <w:t>COVID-19, emerging market, firm value, good corporate</w:t>
      </w:r>
      <w:r w:rsidR="009B34D9">
        <w:rPr>
          <w:rFonts w:ascii="Bookman Old Style" w:hAnsi="Bookman Old Style"/>
          <w:bCs/>
        </w:rPr>
        <w:t xml:space="preserve">, </w:t>
      </w:r>
      <w:r w:rsidR="00835DCB" w:rsidRPr="00C90272">
        <w:rPr>
          <w:rFonts w:ascii="Bookman Old Style" w:hAnsi="Bookman Old Style"/>
          <w:bCs/>
        </w:rPr>
        <w:t>governance, Indonesia, pandemic, supervisory board.</w:t>
      </w:r>
    </w:p>
    <w:p w:rsidR="00FF2E11" w:rsidRPr="00C90272" w:rsidRDefault="00FF2E11" w:rsidP="003876F6">
      <w:pPr>
        <w:contextualSpacing/>
        <w:rPr>
          <w:rFonts w:ascii="Bookman Old Style" w:hAnsi="Bookman Old Style"/>
          <w:bCs/>
        </w:rPr>
      </w:pPr>
    </w:p>
    <w:p w:rsidR="00FF2E11" w:rsidRPr="00C90272" w:rsidRDefault="00FF2E11" w:rsidP="003876F6">
      <w:pPr>
        <w:contextualSpacing/>
        <w:rPr>
          <w:rFonts w:ascii="Bookman Old Style" w:hAnsi="Bookman Old Style"/>
          <w:bCs/>
        </w:rPr>
      </w:pPr>
    </w:p>
    <w:p w:rsidR="00E530FD" w:rsidRPr="00C90272" w:rsidRDefault="00841BFC" w:rsidP="003876F6">
      <w:pPr>
        <w:contextualSpacing/>
        <w:rPr>
          <w:rFonts w:ascii="Bookman Old Style" w:hAnsi="Bookman Old Style"/>
          <w:b/>
        </w:rPr>
      </w:pPr>
      <w:r w:rsidRPr="00C90272">
        <w:rPr>
          <w:rFonts w:ascii="Bookman Old Style" w:hAnsi="Bookman Old Style"/>
          <w:b/>
        </w:rPr>
        <w:t xml:space="preserve">Introduction </w:t>
      </w:r>
    </w:p>
    <w:p w:rsidR="00E530FD" w:rsidRPr="00C90272" w:rsidRDefault="00E530FD" w:rsidP="003876F6">
      <w:pPr>
        <w:pStyle w:val="BodyText"/>
        <w:spacing w:after="0"/>
        <w:contextualSpacing/>
        <w:rPr>
          <w:rFonts w:ascii="Bookman Old Style" w:hAnsi="Bookman Old Style"/>
        </w:rPr>
      </w:pPr>
    </w:p>
    <w:p w:rsidR="00193E6A" w:rsidRPr="00C90272" w:rsidRDefault="00193E6A" w:rsidP="00193E6A">
      <w:pPr>
        <w:jc w:val="both"/>
        <w:rPr>
          <w:rFonts w:ascii="Bookman Old Style" w:hAnsi="Bookman Old Style"/>
          <w:noProof/>
          <w:lang w:val="id-ID"/>
        </w:rPr>
      </w:pPr>
      <w:r w:rsidRPr="00C90272">
        <w:rPr>
          <w:rFonts w:ascii="Bookman Old Style" w:hAnsi="Bookman Old Style"/>
          <w:noProof/>
          <w:lang w:val="id-ID"/>
        </w:rPr>
        <w:t>Under normal conditions, good corporate internal governance can support the firm's performance and positively respond to the public. The independence and size of the board as the indicator</w:t>
      </w:r>
      <w:r w:rsidRPr="00C90272">
        <w:rPr>
          <w:rFonts w:ascii="Bookman Old Style" w:hAnsi="Bookman Old Style"/>
          <w:noProof/>
        </w:rPr>
        <w:t>s</w:t>
      </w:r>
      <w:r w:rsidRPr="00C90272">
        <w:rPr>
          <w:rFonts w:ascii="Bookman Old Style" w:hAnsi="Bookman Old Style"/>
          <w:noProof/>
          <w:lang w:val="id-ID"/>
        </w:rPr>
        <w:t xml:space="preserve"> of the implementation of good corporate governance have been proven to reduce the cost of debt </w:t>
      </w:r>
      <w:hyperlink w:anchor="References" w:history="1">
        <w:r w:rsidR="00076433" w:rsidRPr="00C90272">
          <w:rPr>
            <w:rStyle w:val="Hyperlink"/>
            <w:rFonts w:ascii="Bookman Old Style" w:hAnsi="Bookman Old Style"/>
            <w:noProof/>
            <w:u w:val="none"/>
          </w:rPr>
          <w:t>(</w:t>
        </w:r>
        <w:r w:rsidR="00076433" w:rsidRPr="00C90272">
          <w:rPr>
            <w:rStyle w:val="Hyperlink"/>
            <w:rFonts w:ascii="Bookman Old Style" w:hAnsi="Bookman Old Style"/>
            <w:u w:val="none"/>
          </w:rPr>
          <w:t>Anderson et al., 2004)</w:t>
        </w:r>
      </w:hyperlink>
      <w:r w:rsidRPr="00C90272">
        <w:rPr>
          <w:rFonts w:ascii="Bookman Old Style" w:hAnsi="Bookman Old Style"/>
          <w:noProof/>
          <w:lang w:val="id-ID"/>
        </w:rPr>
        <w:t xml:space="preserve">, improve firm performance </w:t>
      </w:r>
      <w:hyperlink w:anchor="References" w:history="1">
        <w:r w:rsidR="00076433" w:rsidRPr="00C90272">
          <w:rPr>
            <w:rStyle w:val="Hyperlink"/>
            <w:rFonts w:ascii="Bookman Old Style" w:hAnsi="Bookman Old Style"/>
            <w:noProof/>
            <w:u w:val="none"/>
          </w:rPr>
          <w:t>(</w:t>
        </w:r>
        <w:r w:rsidR="00076433" w:rsidRPr="00C90272">
          <w:rPr>
            <w:rStyle w:val="Hyperlink"/>
            <w:rFonts w:ascii="Bookman Old Style" w:hAnsi="Bookman Old Style"/>
            <w:u w:val="none"/>
          </w:rPr>
          <w:t>Gafoor et al., 2018)</w:t>
        </w:r>
      </w:hyperlink>
      <w:r w:rsidRPr="00C90272">
        <w:rPr>
          <w:rFonts w:ascii="Bookman Old Style" w:hAnsi="Bookman Old Style"/>
          <w:noProof/>
        </w:rPr>
        <w:t xml:space="preserve"> and firm value </w:t>
      </w:r>
      <w:hyperlink w:anchor="References" w:history="1">
        <w:r w:rsidR="00076433" w:rsidRPr="00C90272">
          <w:rPr>
            <w:rStyle w:val="Hyperlink"/>
            <w:rFonts w:ascii="Bookman Old Style" w:hAnsi="Bookman Old Style"/>
            <w:noProof/>
            <w:u w:val="none"/>
          </w:rPr>
          <w:t>(</w:t>
        </w:r>
        <w:r w:rsidR="00076433" w:rsidRPr="00C90272">
          <w:rPr>
            <w:rStyle w:val="Hyperlink"/>
            <w:rFonts w:ascii="Bookman Old Style" w:hAnsi="Bookman Old Style"/>
            <w:u w:val="none"/>
          </w:rPr>
          <w:t>Zhu et al., 2016)</w:t>
        </w:r>
      </w:hyperlink>
      <w:r w:rsidRPr="00C90272">
        <w:rPr>
          <w:rFonts w:ascii="Bookman Old Style" w:hAnsi="Bookman Old Style"/>
          <w:noProof/>
          <w:lang w:val="id-ID"/>
        </w:rPr>
        <w:t>. Independent board members, in this case</w:t>
      </w:r>
      <w:r w:rsidRPr="00C90272">
        <w:rPr>
          <w:rFonts w:ascii="Bookman Old Style" w:hAnsi="Bookman Old Style"/>
          <w:noProof/>
        </w:rPr>
        <w:t>,</w:t>
      </w:r>
      <w:r w:rsidRPr="00C90272">
        <w:rPr>
          <w:rFonts w:ascii="Bookman Old Style" w:hAnsi="Bookman Old Style"/>
          <w:noProof/>
          <w:lang w:val="id-ID"/>
        </w:rPr>
        <w:t xml:space="preserve"> could have a hand in influencing the firm to benefit from innovation performance </w:t>
      </w:r>
      <w:hyperlink w:anchor="References" w:history="1">
        <w:r w:rsidR="00076433" w:rsidRPr="00C90272">
          <w:rPr>
            <w:rStyle w:val="Hyperlink"/>
            <w:rFonts w:ascii="Bookman Old Style" w:hAnsi="Bookman Old Style"/>
            <w:u w:val="none"/>
          </w:rPr>
          <w:t>(Chen et al., 2016)</w:t>
        </w:r>
      </w:hyperlink>
      <w:r w:rsidRPr="00C90272">
        <w:rPr>
          <w:rFonts w:ascii="Bookman Old Style" w:hAnsi="Bookman Old Style"/>
          <w:noProof/>
        </w:rPr>
        <w:t>.</w:t>
      </w:r>
      <w:r w:rsidRPr="00C90272">
        <w:rPr>
          <w:rFonts w:ascii="Bookman Old Style" w:hAnsi="Bookman Old Style"/>
          <w:noProof/>
          <w:lang w:val="id-ID"/>
        </w:rPr>
        <w:t xml:space="preserve"> Tests on companies in Indonesia also show that the size of the </w:t>
      </w:r>
      <w:r w:rsidRPr="00C90272">
        <w:rPr>
          <w:rFonts w:ascii="Bookman Old Style" w:hAnsi="Bookman Old Style"/>
          <w:noProof/>
        </w:rPr>
        <w:t>supervisory board</w:t>
      </w:r>
      <w:r w:rsidRPr="00C90272">
        <w:rPr>
          <w:rFonts w:ascii="Bookman Old Style" w:hAnsi="Bookman Old Style"/>
          <w:noProof/>
          <w:lang w:val="id-ID"/>
        </w:rPr>
        <w:t xml:space="preserve"> has a positive impact on economic sustainability performance </w:t>
      </w:r>
      <w:hyperlink w:anchor="References" w:history="1">
        <w:r w:rsidR="00076433" w:rsidRPr="00C90272">
          <w:rPr>
            <w:rStyle w:val="Hyperlink"/>
            <w:rFonts w:ascii="Bookman Old Style" w:hAnsi="Bookman Old Style"/>
            <w:u w:val="none"/>
          </w:rPr>
          <w:t>(Tjahjadi et al., 2021)</w:t>
        </w:r>
      </w:hyperlink>
      <w:r w:rsidRPr="00C90272">
        <w:rPr>
          <w:rFonts w:ascii="Bookman Old Style" w:hAnsi="Bookman Old Style"/>
          <w:noProof/>
          <w:lang w:val="id-ID"/>
        </w:rPr>
        <w:t xml:space="preserve">. </w:t>
      </w:r>
      <w:r w:rsidRPr="00C90272">
        <w:rPr>
          <w:rFonts w:ascii="Bookman Old Style" w:hAnsi="Bookman Old Style"/>
          <w:noProof/>
          <w:lang w:val="id-ID"/>
        </w:rPr>
        <w:lastRenderedPageBreak/>
        <w:t xml:space="preserve">However, could independence by the </w:t>
      </w:r>
      <w:r w:rsidRPr="00C90272">
        <w:rPr>
          <w:rFonts w:ascii="Bookman Old Style" w:hAnsi="Bookman Old Style"/>
          <w:noProof/>
        </w:rPr>
        <w:t xml:space="preserve">supervisory </w:t>
      </w:r>
      <w:r w:rsidRPr="00C90272">
        <w:rPr>
          <w:rFonts w:ascii="Bookman Old Style" w:hAnsi="Bookman Old Style"/>
          <w:noProof/>
          <w:lang w:val="id-ID"/>
        </w:rPr>
        <w:t>board and reinforced by the size of the</w:t>
      </w:r>
      <w:r w:rsidRPr="00C90272">
        <w:rPr>
          <w:rFonts w:ascii="Bookman Old Style" w:hAnsi="Bookman Old Style"/>
          <w:noProof/>
        </w:rPr>
        <w:t xml:space="preserve"> supervisory</w:t>
      </w:r>
      <w:r w:rsidRPr="00C90272">
        <w:rPr>
          <w:rFonts w:ascii="Bookman Old Style" w:hAnsi="Bookman Old Style"/>
          <w:noProof/>
          <w:lang w:val="id-ID"/>
        </w:rPr>
        <w:t xml:space="preserve"> board encourage positive public judgment during a crisis?</w:t>
      </w:r>
    </w:p>
    <w:p w:rsidR="00193E6A" w:rsidRPr="00C90272" w:rsidRDefault="00193E6A" w:rsidP="00076433">
      <w:pPr>
        <w:jc w:val="both"/>
        <w:rPr>
          <w:rFonts w:ascii="Bookman Old Style" w:hAnsi="Bookman Old Style"/>
          <w:noProof/>
        </w:rPr>
      </w:pPr>
      <w:r w:rsidRPr="00C90272">
        <w:rPr>
          <w:rFonts w:ascii="Bookman Old Style" w:hAnsi="Bookman Old Style"/>
          <w:noProof/>
          <w:lang w:val="id-ID"/>
        </w:rPr>
        <w:t xml:space="preserve">The health and financial crisis caused public doubt in giving a fair assessment of the price of firm assets. It is proven by the dramatic changes in stock returns during the financial crisis </w:t>
      </w:r>
      <w:hyperlink w:anchor="References" w:history="1">
        <w:r w:rsidR="006B731F" w:rsidRPr="00C90272">
          <w:rPr>
            <w:rStyle w:val="Hyperlink"/>
            <w:rFonts w:ascii="Bookman Old Style" w:hAnsi="Bookman Old Style"/>
            <w:u w:val="none"/>
          </w:rPr>
          <w:t>(</w:t>
        </w:r>
        <w:r w:rsidR="00832382" w:rsidRPr="00C90272">
          <w:rPr>
            <w:rStyle w:val="Hyperlink"/>
            <w:rFonts w:ascii="Bookman Old Style" w:hAnsi="Bookman Old Style"/>
            <w:u w:val="none"/>
          </w:rPr>
          <w:t xml:space="preserve">Viswanathan &amp; </w:t>
        </w:r>
        <w:r w:rsidR="006B731F" w:rsidRPr="00C90272">
          <w:rPr>
            <w:rStyle w:val="Hyperlink"/>
            <w:rFonts w:ascii="Bookman Old Style" w:hAnsi="Bookman Old Style"/>
            <w:u w:val="none"/>
          </w:rPr>
          <w:t>Maheswaran, 2019)</w:t>
        </w:r>
      </w:hyperlink>
      <w:r w:rsidRPr="00C90272">
        <w:rPr>
          <w:rFonts w:ascii="Bookman Old Style" w:hAnsi="Bookman Old Style"/>
          <w:noProof/>
          <w:lang w:val="id-ID"/>
        </w:rPr>
        <w:t xml:space="preserve"> and the health crisis</w:t>
      </w:r>
      <w:r w:rsidR="006B731F" w:rsidRPr="00C90272">
        <w:rPr>
          <w:rFonts w:ascii="Bookman Old Style" w:hAnsi="Bookman Old Style"/>
          <w:noProof/>
        </w:rPr>
        <w:t xml:space="preserve"> </w:t>
      </w:r>
      <w:hyperlink w:anchor="References" w:history="1">
        <w:r w:rsidR="006B731F" w:rsidRPr="00C90272">
          <w:rPr>
            <w:rStyle w:val="Hyperlink"/>
            <w:rFonts w:ascii="Bookman Old Style" w:hAnsi="Bookman Old Style"/>
            <w:u w:val="none"/>
          </w:rPr>
          <w:t>(Al-Awadhi et al., 2020)</w:t>
        </w:r>
      </w:hyperlink>
      <w:r w:rsidRPr="00C90272">
        <w:rPr>
          <w:rFonts w:ascii="Bookman Old Style" w:hAnsi="Bookman Old Style"/>
          <w:noProof/>
          <w:lang w:val="id-ID"/>
        </w:rPr>
        <w:t xml:space="preserve">. Disease-related news causes significant sentiment among investors. This sentiment even occurs in developed markets such as United States </w:t>
      </w:r>
      <w:hyperlink w:anchor="References" w:history="1">
        <w:r w:rsidR="006B731F" w:rsidRPr="00C90272">
          <w:rPr>
            <w:rStyle w:val="Hyperlink"/>
            <w:rFonts w:ascii="Bookman Old Style" w:hAnsi="Bookman Old Style"/>
            <w:u w:val="none"/>
          </w:rPr>
          <w:t>(Donadelli et al., 2017)</w:t>
        </w:r>
      </w:hyperlink>
      <w:r w:rsidRPr="00C90272">
        <w:rPr>
          <w:rFonts w:ascii="Bookman Old Style" w:hAnsi="Bookman Old Style"/>
          <w:noProof/>
          <w:lang w:val="id-ID"/>
        </w:rPr>
        <w:t xml:space="preserve">. When associated with the current health crisis, the negative effects of the COVID-19 pandemic are visible in the negative returns of firm shares </w:t>
      </w:r>
      <w:hyperlink w:anchor="References" w:history="1">
        <w:r w:rsidR="006B731F" w:rsidRPr="00C90272">
          <w:rPr>
            <w:rStyle w:val="Hyperlink"/>
            <w:rFonts w:ascii="Bookman Old Style" w:hAnsi="Bookman Old Style"/>
            <w:u w:val="none"/>
          </w:rPr>
          <w:t>(Al-Awadhi et al., 2020)</w:t>
        </w:r>
      </w:hyperlink>
      <w:r w:rsidRPr="00C90272">
        <w:rPr>
          <w:rFonts w:ascii="Bookman Old Style" w:hAnsi="Bookman Old Style"/>
          <w:noProof/>
        </w:rPr>
        <w:t>.</w:t>
      </w:r>
    </w:p>
    <w:p w:rsidR="00076433" w:rsidRPr="00C90272" w:rsidRDefault="00076433" w:rsidP="00076433">
      <w:pPr>
        <w:jc w:val="both"/>
        <w:rPr>
          <w:rFonts w:ascii="Bookman Old Style" w:hAnsi="Bookman Old Style"/>
          <w:noProof/>
          <w:lang w:val="id-ID"/>
        </w:rPr>
      </w:pPr>
    </w:p>
    <w:p w:rsidR="00193E6A" w:rsidRPr="00C90272" w:rsidRDefault="00193E6A" w:rsidP="00076433">
      <w:pPr>
        <w:jc w:val="both"/>
        <w:rPr>
          <w:rFonts w:ascii="Bookman Old Style" w:hAnsi="Bookman Old Style"/>
          <w:noProof/>
          <w:lang w:val="id-ID"/>
        </w:rPr>
      </w:pPr>
      <w:r w:rsidRPr="00C90272">
        <w:rPr>
          <w:rFonts w:ascii="Bookman Old Style" w:hAnsi="Bookman Old Style"/>
          <w:noProof/>
          <w:lang w:val="id-ID"/>
        </w:rPr>
        <w:t xml:space="preserve">Indonesia is an interesting object to study, especially regarding the issue of corporate governance during the COVID-19 pandemic, with at least three considerations. </w:t>
      </w:r>
      <w:r w:rsidRPr="00C90272">
        <w:rPr>
          <w:rFonts w:ascii="Bookman Old Style" w:hAnsi="Bookman Old Style"/>
          <w:i/>
          <w:noProof/>
          <w:lang w:val="id-ID"/>
        </w:rPr>
        <w:t>First</w:t>
      </w:r>
      <w:r w:rsidRPr="00C90272">
        <w:rPr>
          <w:rFonts w:ascii="Bookman Old Style" w:hAnsi="Bookman Old Style"/>
          <w:noProof/>
          <w:lang w:val="id-ID"/>
        </w:rPr>
        <w:t xml:space="preserve">, governance in Indonesia which is considered underdeveloped </w:t>
      </w:r>
      <w:hyperlink w:anchor="References" w:history="1">
        <w:r w:rsidR="006B731F" w:rsidRPr="00C90272">
          <w:rPr>
            <w:rStyle w:val="Hyperlink"/>
            <w:rFonts w:ascii="Bookman Old Style" w:hAnsi="Bookman Old Style"/>
            <w:u w:val="none"/>
          </w:rPr>
          <w:t>(Dercon, 2007)</w:t>
        </w:r>
      </w:hyperlink>
      <w:r w:rsidRPr="00C90272">
        <w:rPr>
          <w:rFonts w:ascii="Bookman Old Style" w:hAnsi="Bookman Old Style"/>
          <w:noProof/>
          <w:lang w:val="id-ID"/>
        </w:rPr>
        <w:t xml:space="preserve">, and corporate governance surveys in this country are always ranked last </w:t>
      </w:r>
      <w:hyperlink w:anchor="References" w:history="1">
        <w:r w:rsidR="006B731F" w:rsidRPr="00C90272">
          <w:rPr>
            <w:rStyle w:val="Hyperlink"/>
            <w:rFonts w:ascii="Bookman Old Style" w:hAnsi="Bookman Old Style"/>
            <w:u w:val="none"/>
          </w:rPr>
          <w:t>(ACGA. 2019; ACGA. 2021)</w:t>
        </w:r>
      </w:hyperlink>
      <w:r w:rsidRPr="00C90272">
        <w:rPr>
          <w:rFonts w:ascii="Bookman Old Style" w:hAnsi="Bookman Old Style"/>
          <w:noProof/>
          <w:lang w:val="id-ID"/>
        </w:rPr>
        <w:t xml:space="preserve">. </w:t>
      </w:r>
      <w:r w:rsidRPr="00C90272">
        <w:rPr>
          <w:rFonts w:ascii="Bookman Old Style" w:hAnsi="Bookman Old Style"/>
          <w:i/>
          <w:noProof/>
          <w:lang w:val="id-ID"/>
        </w:rPr>
        <w:t>Second</w:t>
      </w:r>
      <w:r w:rsidRPr="00C90272">
        <w:rPr>
          <w:rFonts w:ascii="Bookman Old Style" w:hAnsi="Bookman Old Style"/>
          <w:noProof/>
          <w:lang w:val="id-ID"/>
        </w:rPr>
        <w:t xml:space="preserve">, Indonesia is synonymous with the capital market with the thin market category, which deserves to be analyzed regarding investor reactions, especially during this health crisis. </w:t>
      </w:r>
      <w:r w:rsidRPr="00C90272">
        <w:rPr>
          <w:rFonts w:ascii="Bookman Old Style" w:hAnsi="Bookman Old Style"/>
          <w:i/>
          <w:noProof/>
          <w:lang w:val="id-ID"/>
        </w:rPr>
        <w:t>Third</w:t>
      </w:r>
      <w:r w:rsidRPr="00C90272">
        <w:rPr>
          <w:rFonts w:ascii="Bookman Old Style" w:hAnsi="Bookman Old Style"/>
          <w:noProof/>
          <w:lang w:val="id-ID"/>
        </w:rPr>
        <w:t xml:space="preserve">, this country adheres to a two-tier board system separating the supervisory and implementing functions. With its relatively high information asymmetry and weak corporate governance, Indonesia makes this object important to analyze regarding the independence of the </w:t>
      </w:r>
      <w:r w:rsidRPr="00C90272">
        <w:rPr>
          <w:rFonts w:ascii="Bookman Old Style" w:hAnsi="Bookman Old Style"/>
          <w:noProof/>
        </w:rPr>
        <w:t>supervisory board</w:t>
      </w:r>
      <w:r w:rsidRPr="00C90272">
        <w:rPr>
          <w:rFonts w:ascii="Bookman Old Style" w:hAnsi="Bookman Old Style"/>
          <w:noProof/>
          <w:lang w:val="id-ID"/>
        </w:rPr>
        <w:t xml:space="preserve"> in providing trust to the public.</w:t>
      </w:r>
    </w:p>
    <w:p w:rsidR="00076433" w:rsidRPr="00C90272" w:rsidRDefault="00076433" w:rsidP="00076433">
      <w:pPr>
        <w:jc w:val="both"/>
        <w:rPr>
          <w:rFonts w:ascii="Bookman Old Style" w:hAnsi="Bookman Old Style"/>
          <w:noProof/>
        </w:rPr>
      </w:pPr>
    </w:p>
    <w:p w:rsidR="00193E6A" w:rsidRPr="00C90272" w:rsidRDefault="00193E6A" w:rsidP="00076433">
      <w:pPr>
        <w:jc w:val="both"/>
        <w:rPr>
          <w:rFonts w:ascii="Bookman Old Style" w:hAnsi="Bookman Old Style"/>
          <w:noProof/>
        </w:rPr>
      </w:pPr>
      <w:r w:rsidRPr="00C90272">
        <w:rPr>
          <w:rFonts w:ascii="Bookman Old Style" w:hAnsi="Bookman Old Style"/>
          <w:noProof/>
        </w:rPr>
        <w:t>Using a sample of 474 non-financial companies in Indonesia in the first year of the COVID-19 pandemic, we found a robust positive association between independent supervisory boards and firm value</w:t>
      </w:r>
      <w:r w:rsidR="00C90272" w:rsidRPr="00C90272">
        <w:rPr>
          <w:rFonts w:ascii="Bookman Old Style" w:hAnsi="Bookman Old Style"/>
          <w:noProof/>
        </w:rPr>
        <w:t xml:space="preserve"> </w:t>
      </w:r>
      <w:hyperlink w:anchor="References" w:history="1">
        <w:r w:rsidR="00C90272" w:rsidRPr="00C90272">
          <w:rPr>
            <w:rStyle w:val="Hyperlink"/>
            <w:rFonts w:ascii="Bookman Old Style" w:hAnsi="Bookman Old Style"/>
            <w:noProof/>
            <w:u w:val="none"/>
          </w:rPr>
          <w:t>(Rismayani et al., 2021; Maemunah &amp; Cuaca, 2021)</w:t>
        </w:r>
      </w:hyperlink>
      <w:r w:rsidRPr="00C90272">
        <w:rPr>
          <w:rFonts w:ascii="Bookman Old Style" w:hAnsi="Bookman Old Style"/>
          <w:noProof/>
        </w:rPr>
        <w:t>. The supervisory board in the firm</w:t>
      </w:r>
      <w:r w:rsidRPr="00C90272">
        <w:rPr>
          <w:rFonts w:ascii="Bookman Old Style" w:hAnsi="Bookman Old Style"/>
          <w:noProof/>
          <w:lang w:val="id-ID"/>
        </w:rPr>
        <w:t xml:space="preserve"> </w:t>
      </w:r>
      <w:r w:rsidRPr="00C90272">
        <w:rPr>
          <w:rFonts w:ascii="Bookman Old Style" w:hAnsi="Bookman Old Style"/>
          <w:noProof/>
        </w:rPr>
        <w:t xml:space="preserve">can strengthen the independent supervisory board's positive influence on the firm's public assessment. These results remain robust on tests with different indicators. Therefore, this study contributes in at least two ways. </w:t>
      </w:r>
      <w:r w:rsidRPr="00C90272">
        <w:rPr>
          <w:rFonts w:ascii="Bookman Old Style" w:hAnsi="Bookman Old Style"/>
          <w:i/>
          <w:noProof/>
        </w:rPr>
        <w:t>First</w:t>
      </w:r>
      <w:r w:rsidRPr="00C90272">
        <w:rPr>
          <w:rFonts w:ascii="Bookman Old Style" w:hAnsi="Bookman Old Style"/>
          <w:noProof/>
        </w:rPr>
        <w:t xml:space="preserve">, we provide new evidence in the literature by broadening our understanding of the role of supervisory boards during a pandemic. This study indirectly provides evidence regarding public trust in corporate governance during the health crisis. </w:t>
      </w:r>
      <w:r w:rsidRPr="00C90272">
        <w:rPr>
          <w:rFonts w:ascii="Bookman Old Style" w:hAnsi="Bookman Old Style"/>
          <w:i/>
          <w:noProof/>
        </w:rPr>
        <w:t>Second</w:t>
      </w:r>
      <w:r w:rsidRPr="00C90272">
        <w:rPr>
          <w:rFonts w:ascii="Bookman Old Style" w:hAnsi="Bookman Old Style"/>
          <w:noProof/>
        </w:rPr>
        <w:t>, this study sheds light on investor reactions to financial information and corporate governance in Indonesia, which is an emerging market in Asia with relatively high asymmetric information conditions.</w:t>
      </w:r>
    </w:p>
    <w:p w:rsidR="00076433" w:rsidRPr="00C90272" w:rsidRDefault="00076433" w:rsidP="00076433">
      <w:pPr>
        <w:jc w:val="both"/>
        <w:rPr>
          <w:rFonts w:ascii="Bookman Old Style" w:hAnsi="Bookman Old Style"/>
          <w:noProof/>
          <w:lang w:val="id-ID"/>
        </w:rPr>
      </w:pPr>
    </w:p>
    <w:p w:rsidR="00193E6A" w:rsidRPr="00C90272" w:rsidRDefault="00193E6A" w:rsidP="006B731F">
      <w:pPr>
        <w:jc w:val="both"/>
        <w:rPr>
          <w:rFonts w:ascii="Bookman Old Style" w:hAnsi="Bookman Old Style"/>
          <w:noProof/>
          <w:lang w:val="id-ID"/>
        </w:rPr>
      </w:pPr>
      <w:r w:rsidRPr="00C90272">
        <w:rPr>
          <w:rFonts w:ascii="Bookman Old Style" w:hAnsi="Bookman Old Style"/>
          <w:noProof/>
          <w:lang w:val="id-ID"/>
        </w:rPr>
        <w:t>This article is organized as follows. The second part presents the research methods in this study. The third part presents the results of the tests and the discussion. In the end, the conclusions and limitations of this study are presented.</w:t>
      </w:r>
    </w:p>
    <w:p w:rsidR="006B731F" w:rsidRPr="00C90272" w:rsidRDefault="006B731F" w:rsidP="006B731F">
      <w:pPr>
        <w:jc w:val="both"/>
        <w:rPr>
          <w:rFonts w:ascii="Bookman Old Style" w:hAnsi="Bookman Old Style"/>
          <w:noProof/>
          <w:lang w:val="id-ID"/>
        </w:rPr>
      </w:pPr>
    </w:p>
    <w:p w:rsidR="00193E6A" w:rsidRPr="00C90272" w:rsidRDefault="00193E6A" w:rsidP="006B731F">
      <w:pPr>
        <w:jc w:val="both"/>
        <w:rPr>
          <w:rFonts w:ascii="Bookman Old Style" w:hAnsi="Bookman Old Style"/>
          <w:b/>
          <w:w w:val="105"/>
        </w:rPr>
      </w:pPr>
      <w:r w:rsidRPr="00C90272">
        <w:rPr>
          <w:rFonts w:ascii="Bookman Old Style" w:hAnsi="Bookman Old Style"/>
          <w:b/>
          <w:w w:val="105"/>
        </w:rPr>
        <w:t>Methods</w:t>
      </w:r>
    </w:p>
    <w:p w:rsidR="006B731F" w:rsidRPr="00C90272" w:rsidRDefault="006B731F" w:rsidP="006B731F">
      <w:pPr>
        <w:jc w:val="both"/>
        <w:rPr>
          <w:rFonts w:ascii="Bookman Old Style" w:hAnsi="Bookman Old Style"/>
          <w:noProof/>
          <w:lang w:val="id-ID"/>
        </w:rPr>
      </w:pPr>
    </w:p>
    <w:p w:rsidR="00193E6A" w:rsidRPr="00C90272" w:rsidRDefault="00193E6A" w:rsidP="006B731F">
      <w:pPr>
        <w:jc w:val="both"/>
        <w:rPr>
          <w:rFonts w:ascii="Bookman Old Style" w:hAnsi="Bookman Old Style"/>
          <w:noProof/>
          <w:lang w:val="id-ID"/>
        </w:rPr>
      </w:pPr>
      <w:r w:rsidRPr="00C90272">
        <w:rPr>
          <w:rFonts w:ascii="Bookman Old Style" w:hAnsi="Bookman Old Style"/>
          <w:noProof/>
          <w:lang w:val="id-ID"/>
        </w:rPr>
        <w:t xml:space="preserve">This study takes a sample of non-financial companies in Indonesia in the first year of the COVID-19 pandemic in Indonesia, 2020. The non-financial companies were issued in this study, considering differences in the specific rules that bind financial companies and taking into account differences in business nature. Based on data availability, the final sample of this study is 474 companies. Data </w:t>
      </w:r>
      <w:r w:rsidRPr="00C90272">
        <w:rPr>
          <w:rFonts w:ascii="Bookman Old Style" w:hAnsi="Bookman Old Style"/>
          <w:noProof/>
          <w:lang w:val="id-ID"/>
        </w:rPr>
        <w:lastRenderedPageBreak/>
        <w:t xml:space="preserve">related to the </w:t>
      </w:r>
      <w:r w:rsidRPr="00C90272">
        <w:rPr>
          <w:rFonts w:ascii="Bookman Old Style" w:hAnsi="Bookman Old Style"/>
          <w:noProof/>
        </w:rPr>
        <w:t>supervisory board</w:t>
      </w:r>
      <w:r w:rsidRPr="00C90272">
        <w:rPr>
          <w:rFonts w:ascii="Bookman Old Style" w:hAnsi="Bookman Old Style"/>
          <w:noProof/>
          <w:lang w:val="id-ID"/>
        </w:rPr>
        <w:t>, fundamental aspects, and firm characteristics were obtained by extracting them from the firm's financial statements, while stock price data were obtained from the Indonesian Stock Exchange (IDX) website.</w:t>
      </w:r>
    </w:p>
    <w:p w:rsidR="00C90272" w:rsidRPr="00C90272" w:rsidRDefault="00C90272" w:rsidP="006B731F">
      <w:pPr>
        <w:jc w:val="both"/>
        <w:rPr>
          <w:rFonts w:ascii="Bookman Old Style" w:hAnsi="Bookman Old Style"/>
          <w:noProof/>
          <w:lang w:val="id-ID"/>
        </w:rPr>
      </w:pPr>
    </w:p>
    <w:p w:rsidR="00193E6A" w:rsidRPr="00C90272" w:rsidRDefault="00193E6A" w:rsidP="006B731F">
      <w:pPr>
        <w:jc w:val="both"/>
        <w:rPr>
          <w:rFonts w:ascii="Bookman Old Style" w:hAnsi="Bookman Old Style"/>
          <w:noProof/>
          <w:lang w:val="id-ID"/>
        </w:rPr>
      </w:pPr>
      <w:r w:rsidRPr="00C90272">
        <w:rPr>
          <w:rFonts w:ascii="Bookman Old Style" w:hAnsi="Bookman Old Style"/>
          <w:noProof/>
          <w:lang w:val="id-ID"/>
        </w:rPr>
        <w:t xml:space="preserve">This research model is built systematically by starting with the baseline model by considering the fundamental factors and characteristics at the firm level and then continuing with the full model identification. Analysis of the firm's fundamental factors is important because the decline in stock returns caused by the COVID-19 pandemic is lighter in companies with stronger financials before 2020 </w:t>
      </w:r>
      <w:hyperlink w:anchor="References" w:history="1">
        <w:r w:rsidR="006B731F" w:rsidRPr="00C90272">
          <w:rPr>
            <w:rStyle w:val="Hyperlink"/>
            <w:rFonts w:ascii="Bookman Old Style" w:hAnsi="Bookman Old Style"/>
            <w:u w:val="none"/>
          </w:rPr>
          <w:t>(Ding et al., 2021)</w:t>
        </w:r>
      </w:hyperlink>
      <w:r w:rsidRPr="00C90272">
        <w:rPr>
          <w:rFonts w:ascii="Bookman Old Style" w:hAnsi="Bookman Old Style"/>
          <w:noProof/>
          <w:lang w:val="id-ID"/>
        </w:rPr>
        <w:t xml:space="preserve">. Disease-related news has a stronger effect on small firms and vice versa </w:t>
      </w:r>
      <w:hyperlink w:anchor="References" w:history="1">
        <w:r w:rsidR="006B731F" w:rsidRPr="00C90272">
          <w:rPr>
            <w:rStyle w:val="Hyperlink"/>
            <w:rFonts w:ascii="Bookman Old Style" w:hAnsi="Bookman Old Style"/>
            <w:u w:val="none"/>
          </w:rPr>
          <w:t>(Donadelli et al., 2017; Ichev &amp; Marinč, 2018)</w:t>
        </w:r>
      </w:hyperlink>
      <w:r w:rsidRPr="00C90272">
        <w:rPr>
          <w:rFonts w:ascii="Bookman Old Style" w:hAnsi="Bookman Old Style"/>
          <w:noProof/>
          <w:lang w:val="id-ID"/>
        </w:rPr>
        <w:t>. The baseline model test covers leverage, profitability, age, and firm size as follows:</w:t>
      </w:r>
    </w:p>
    <w:p w:rsidR="006B731F" w:rsidRPr="00C90272" w:rsidRDefault="006B731F" w:rsidP="006B731F">
      <w:pPr>
        <w:jc w:val="both"/>
        <w:rPr>
          <w:rFonts w:ascii="Bookman Old Style" w:hAnsi="Bookman Old Style"/>
          <w:noProof/>
          <w:lang w:val="id-ID"/>
        </w:rPr>
      </w:pPr>
    </w:p>
    <w:p w:rsidR="00193E6A" w:rsidRPr="00C90272" w:rsidRDefault="00193E6A" w:rsidP="00193E6A">
      <w:pPr>
        <w:jc w:val="center"/>
        <w:rPr>
          <w:rFonts w:ascii="Bookman Old Style" w:hAnsi="Bookman Old Style"/>
          <w:noProof/>
          <w:lang w:val="id-ID"/>
        </w:rPr>
      </w:pPr>
      <w:r w:rsidRPr="00C90272">
        <w:rPr>
          <w:rFonts w:ascii="Bookman Old Style" w:hAnsi="Bookman Old Style"/>
          <w:noProof/>
          <w:lang w:val="id-ID"/>
        </w:rPr>
        <w:t>FV</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β</w:t>
      </w:r>
      <w:r w:rsidRPr="00C90272">
        <w:rPr>
          <w:rFonts w:ascii="Bookman Old Style" w:hAnsi="Bookman Old Style"/>
          <w:noProof/>
          <w:vertAlign w:val="subscript"/>
          <w:lang w:val="id-ID"/>
        </w:rPr>
        <w:t>0</w:t>
      </w:r>
      <w:r w:rsidRPr="00C90272">
        <w:rPr>
          <w:rFonts w:ascii="Bookman Old Style" w:hAnsi="Bookman Old Style"/>
          <w:noProof/>
          <w:lang w:val="id-ID"/>
        </w:rPr>
        <w:t xml:space="preserve"> + β</w:t>
      </w:r>
      <w:r w:rsidRPr="00C90272">
        <w:rPr>
          <w:rFonts w:ascii="Bookman Old Style" w:hAnsi="Bookman Old Style"/>
          <w:noProof/>
          <w:vertAlign w:val="subscript"/>
          <w:lang w:val="id-ID"/>
        </w:rPr>
        <w:t>1</w:t>
      </w:r>
      <w:r w:rsidRPr="00C90272">
        <w:rPr>
          <w:rFonts w:ascii="Bookman Old Style" w:hAnsi="Bookman Old Style"/>
          <w:noProof/>
          <w:lang w:val="id-ID"/>
        </w:rPr>
        <w:t>Leverage</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β</w:t>
      </w:r>
      <w:r w:rsidRPr="00C90272">
        <w:rPr>
          <w:rFonts w:ascii="Bookman Old Style" w:hAnsi="Bookman Old Style"/>
          <w:noProof/>
          <w:vertAlign w:val="subscript"/>
          <w:lang w:val="id-ID"/>
        </w:rPr>
        <w:t>2</w:t>
      </w:r>
      <w:r w:rsidRPr="00C90272">
        <w:rPr>
          <w:rFonts w:ascii="Bookman Old Style" w:hAnsi="Bookman Old Style"/>
          <w:noProof/>
          <w:lang w:val="id-ID"/>
        </w:rPr>
        <w:t>Profit</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β</w:t>
      </w:r>
      <w:r w:rsidRPr="00C90272">
        <w:rPr>
          <w:rFonts w:ascii="Bookman Old Style" w:hAnsi="Bookman Old Style"/>
          <w:noProof/>
          <w:vertAlign w:val="subscript"/>
          <w:lang w:val="id-ID"/>
        </w:rPr>
        <w:t>3</w:t>
      </w:r>
      <w:r w:rsidRPr="00C90272">
        <w:rPr>
          <w:rFonts w:ascii="Bookman Old Style" w:hAnsi="Bookman Old Style"/>
          <w:noProof/>
          <w:lang w:val="id-ID"/>
        </w:rPr>
        <w:t>Age</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β</w:t>
      </w:r>
      <w:r w:rsidRPr="00C90272">
        <w:rPr>
          <w:rFonts w:ascii="Bookman Old Style" w:hAnsi="Bookman Old Style"/>
          <w:noProof/>
          <w:vertAlign w:val="subscript"/>
          <w:lang w:val="id-ID"/>
        </w:rPr>
        <w:t>4</w:t>
      </w:r>
      <w:r w:rsidRPr="00C90272">
        <w:rPr>
          <w:rFonts w:ascii="Bookman Old Style" w:hAnsi="Bookman Old Style"/>
          <w:noProof/>
          <w:lang w:val="id-ID"/>
        </w:rPr>
        <w:t>Size</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ε</w:t>
      </w:r>
    </w:p>
    <w:p w:rsidR="006B731F" w:rsidRPr="00C90272" w:rsidRDefault="006B731F" w:rsidP="00193E6A">
      <w:pPr>
        <w:jc w:val="center"/>
        <w:rPr>
          <w:rFonts w:ascii="Bookman Old Style" w:hAnsi="Bookman Old Style"/>
          <w:noProof/>
          <w:lang w:val="id-ID"/>
        </w:rPr>
      </w:pPr>
    </w:p>
    <w:p w:rsidR="00193E6A" w:rsidRPr="00C90272" w:rsidRDefault="00193E6A" w:rsidP="00193E6A">
      <w:pPr>
        <w:jc w:val="both"/>
        <w:rPr>
          <w:rFonts w:ascii="Bookman Old Style" w:hAnsi="Bookman Old Style"/>
          <w:noProof/>
          <w:lang w:val="id-ID"/>
        </w:rPr>
      </w:pPr>
      <w:r w:rsidRPr="00C90272">
        <w:rPr>
          <w:rFonts w:ascii="Bookman Old Style" w:hAnsi="Bookman Old Style"/>
          <w:noProof/>
        </w:rPr>
        <w:t>w</w:t>
      </w:r>
      <w:r w:rsidRPr="00C90272">
        <w:rPr>
          <w:rFonts w:ascii="Bookman Old Style" w:hAnsi="Bookman Old Style"/>
          <w:noProof/>
          <w:lang w:val="id-ID"/>
        </w:rPr>
        <w:t>here firm value (FV) is measured by Tobin's Q, which adds up the market value of equity and book value of debt, it is then compared with the book value of total assets. Another alternative used in measuring FV to ensure robust test results is the market to book value (MTB) ratio which compares the price per share to the book value per share. The share price is taken by considering the publication date of the financial statements on IDX. Leverage is measured by comparing the overall debt to the firm's assets. Profit by calculating net profit after tax on firm assets. In the end, age is calculated based on the length of time the firm is listed on the stock exchange, while the firm's size is based on the ln of total assets.</w:t>
      </w:r>
    </w:p>
    <w:p w:rsidR="006B731F" w:rsidRPr="00C90272" w:rsidRDefault="006B731F" w:rsidP="006B731F">
      <w:pPr>
        <w:jc w:val="both"/>
        <w:rPr>
          <w:rFonts w:ascii="Bookman Old Style" w:hAnsi="Bookman Old Style"/>
          <w:noProof/>
          <w:lang w:val="id-ID"/>
        </w:rPr>
      </w:pPr>
    </w:p>
    <w:p w:rsidR="00193E6A" w:rsidRPr="00C90272" w:rsidRDefault="00193E6A" w:rsidP="006B731F">
      <w:pPr>
        <w:jc w:val="both"/>
        <w:rPr>
          <w:rFonts w:ascii="Bookman Old Style" w:hAnsi="Bookman Old Style"/>
          <w:noProof/>
          <w:lang w:val="id-ID"/>
        </w:rPr>
      </w:pPr>
      <w:r w:rsidRPr="00C90272">
        <w:rPr>
          <w:rFonts w:ascii="Bookman Old Style" w:hAnsi="Bookman Old Style"/>
          <w:noProof/>
          <w:lang w:val="id-ID"/>
        </w:rPr>
        <w:t xml:space="preserve">The full model in this study was built based on the baseline model, taking into account the role of the </w:t>
      </w:r>
      <w:r w:rsidRPr="00C90272">
        <w:rPr>
          <w:rFonts w:ascii="Bookman Old Style" w:hAnsi="Bookman Old Style"/>
          <w:noProof/>
        </w:rPr>
        <w:t>supervisory board</w:t>
      </w:r>
      <w:r w:rsidRPr="00C90272">
        <w:rPr>
          <w:rFonts w:ascii="Bookman Old Style" w:hAnsi="Bookman Old Style"/>
          <w:noProof/>
          <w:lang w:val="id-ID"/>
        </w:rPr>
        <w:t xml:space="preserve"> (SB) in the test with consideration of previous studies </w:t>
      </w:r>
      <w:hyperlink w:anchor="References" w:history="1">
        <w:r w:rsidR="006B731F" w:rsidRPr="00C90272">
          <w:rPr>
            <w:rStyle w:val="Hyperlink"/>
            <w:rFonts w:ascii="Bookman Old Style" w:hAnsi="Bookman Old Style"/>
            <w:u w:val="none"/>
          </w:rPr>
          <w:t>(Anderson et al., 2004; Gafoor et al., 2018; Chen et al., 2016; Tjahjadi et al., 2021)</w:t>
        </w:r>
      </w:hyperlink>
      <w:r w:rsidRPr="00C90272">
        <w:rPr>
          <w:rFonts w:ascii="Bookman Old Style" w:hAnsi="Bookman Old Style"/>
          <w:noProof/>
          <w:lang w:val="id-ID"/>
        </w:rPr>
        <w:t xml:space="preserve">. Investigation of the role of the </w:t>
      </w:r>
      <w:r w:rsidRPr="00C90272">
        <w:rPr>
          <w:rFonts w:ascii="Bookman Old Style" w:hAnsi="Bookman Old Style"/>
          <w:noProof/>
        </w:rPr>
        <w:t>supervisory board</w:t>
      </w:r>
      <w:r w:rsidRPr="00C90272">
        <w:rPr>
          <w:rFonts w:ascii="Bookman Old Style" w:hAnsi="Bookman Old Style"/>
          <w:noProof/>
          <w:lang w:val="id-ID"/>
        </w:rPr>
        <w:t xml:space="preserve"> is carried out by considering the number of the </w:t>
      </w:r>
      <w:r w:rsidRPr="00C90272">
        <w:rPr>
          <w:rFonts w:ascii="Bookman Old Style" w:hAnsi="Bookman Old Style"/>
          <w:noProof/>
        </w:rPr>
        <w:t>supervisory board</w:t>
      </w:r>
      <w:r w:rsidRPr="00C90272">
        <w:rPr>
          <w:rFonts w:ascii="Bookman Old Style" w:hAnsi="Bookman Old Style"/>
          <w:noProof/>
          <w:lang w:val="id-ID"/>
        </w:rPr>
        <w:t xml:space="preserve"> and the number of the independent </w:t>
      </w:r>
      <w:r w:rsidRPr="00C90272">
        <w:rPr>
          <w:rFonts w:ascii="Bookman Old Style" w:hAnsi="Bookman Old Style"/>
          <w:noProof/>
        </w:rPr>
        <w:t xml:space="preserve">supervisory board </w:t>
      </w:r>
      <w:r w:rsidRPr="00C90272">
        <w:rPr>
          <w:rFonts w:ascii="Bookman Old Style" w:hAnsi="Bookman Old Style"/>
          <w:noProof/>
          <w:lang w:val="id-ID"/>
        </w:rPr>
        <w:t xml:space="preserve">in each firm. To ensure consistency of results, the test also considers industry effects by considering previous studies during the health crisis </w:t>
      </w:r>
      <w:r w:rsidRPr="00C90272">
        <w:rPr>
          <w:rFonts w:ascii="Bookman Old Style" w:hAnsi="Bookman Old Style"/>
          <w:noProof/>
          <w:lang w:val="id-ID"/>
        </w:rPr>
        <w:fldChar w:fldCharType="begin">
          <w:fldData xml:space="preserve">PEVuZE5vdGU+PENpdGU+PEF1dGhvcj5DaGVuPC9BdXRob3I+PFllYXI+MjAwNzwvWWVhcj48UmVj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</w:fldData>
        </w:fldChar>
      </w:r>
      <w:r w:rsidRPr="00C90272">
        <w:rPr>
          <w:rFonts w:ascii="Bookman Old Style" w:hAnsi="Bookman Old Style"/>
          <w:noProof/>
          <w:lang w:val="id-ID"/>
        </w:rPr>
        <w:instrText xml:space="preserve"> ADDIN EN.CITE </w:instrText>
      </w:r>
      <w:r w:rsidRPr="00C90272">
        <w:rPr>
          <w:rFonts w:ascii="Bookman Old Style" w:hAnsi="Bookman Old Style"/>
          <w:noProof/>
          <w:lang w:val="id-ID"/>
        </w:rPr>
        <w:fldChar w:fldCharType="begin">
          <w:fldData xml:space="preserve">PEVuZE5vdGU+PENpdGU+PEF1dGhvcj5DaGVuPC9BdXRob3I+PFllYXI+MjAwNzwvWWVhcj48UmVj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</w:fldData>
        </w:fldChar>
      </w:r>
      <w:r w:rsidRPr="00C90272">
        <w:rPr>
          <w:rFonts w:ascii="Bookman Old Style" w:hAnsi="Bookman Old Style"/>
          <w:noProof/>
          <w:lang w:val="id-ID"/>
        </w:rPr>
        <w:instrText xml:space="preserve"> ADDIN EN.CITE.DATA </w:instrText>
      </w:r>
      <w:r w:rsidRPr="00C90272">
        <w:rPr>
          <w:rFonts w:ascii="Bookman Old Style" w:hAnsi="Bookman Old Style"/>
          <w:noProof/>
          <w:lang w:val="id-ID"/>
        </w:rPr>
      </w:r>
      <w:r w:rsidRPr="00C90272">
        <w:rPr>
          <w:rFonts w:ascii="Bookman Old Style" w:hAnsi="Bookman Old Style"/>
          <w:noProof/>
          <w:lang w:val="id-ID"/>
        </w:rPr>
        <w:fldChar w:fldCharType="end"/>
      </w:r>
      <w:r w:rsidRPr="00C90272">
        <w:rPr>
          <w:rFonts w:ascii="Bookman Old Style" w:hAnsi="Bookman Old Style"/>
          <w:noProof/>
          <w:lang w:val="id-ID"/>
        </w:rPr>
      </w:r>
      <w:r w:rsidRPr="00C90272">
        <w:rPr>
          <w:rFonts w:ascii="Bookman Old Style" w:hAnsi="Bookman Old Style"/>
          <w:noProof/>
          <w:lang w:val="id-ID"/>
        </w:rPr>
        <w:fldChar w:fldCharType="separate"/>
      </w:r>
      <w:r w:rsidRPr="00C90272">
        <w:rPr>
          <w:rFonts w:ascii="Bookman Old Style" w:hAnsi="Bookman Old Style"/>
          <w:noProof/>
          <w:lang w:val="id-ID"/>
        </w:rPr>
        <w:t>[14, 15]</w:t>
      </w:r>
      <w:r w:rsidRPr="00C90272">
        <w:rPr>
          <w:rFonts w:ascii="Bookman Old Style" w:hAnsi="Bookman Old Style"/>
          <w:noProof/>
          <w:lang w:val="id-ID"/>
        </w:rPr>
        <w:fldChar w:fldCharType="end"/>
      </w:r>
      <w:r w:rsidRPr="00C90272">
        <w:rPr>
          <w:rFonts w:ascii="Bookman Old Style" w:hAnsi="Bookman Old Style"/>
          <w:noProof/>
          <w:lang w:val="id-ID"/>
        </w:rPr>
        <w:t>. Here is the full model in this study:</w:t>
      </w:r>
    </w:p>
    <w:p w:rsidR="006B731F" w:rsidRPr="00C90272" w:rsidRDefault="006B731F" w:rsidP="006B731F">
      <w:pPr>
        <w:jc w:val="both"/>
        <w:rPr>
          <w:rFonts w:ascii="Bookman Old Style" w:hAnsi="Bookman Old Style"/>
          <w:noProof/>
          <w:lang w:val="id-ID"/>
        </w:rPr>
      </w:pPr>
    </w:p>
    <w:p w:rsidR="00193E6A" w:rsidRPr="00C90272" w:rsidRDefault="00193E6A" w:rsidP="00193E6A">
      <w:pPr>
        <w:jc w:val="center"/>
        <w:rPr>
          <w:rFonts w:ascii="Bookman Old Style" w:hAnsi="Bookman Old Style"/>
          <w:w w:val="105"/>
        </w:rPr>
      </w:pPr>
      <w:r w:rsidRPr="00C90272">
        <w:rPr>
          <w:rFonts w:ascii="Bookman Old Style" w:hAnsi="Bookman Old Style"/>
          <w:noProof/>
          <w:lang w:val="id-ID"/>
        </w:rPr>
        <w:t>FV</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β</w:t>
      </w:r>
      <w:r w:rsidRPr="00C90272">
        <w:rPr>
          <w:rFonts w:ascii="Bookman Old Style" w:hAnsi="Bookman Old Style"/>
          <w:noProof/>
          <w:vertAlign w:val="subscript"/>
          <w:lang w:val="id-ID"/>
        </w:rPr>
        <w:t>0</w:t>
      </w:r>
      <w:r w:rsidRPr="00C90272">
        <w:rPr>
          <w:rFonts w:ascii="Bookman Old Style" w:hAnsi="Bookman Old Style"/>
          <w:noProof/>
          <w:lang w:val="id-ID"/>
        </w:rPr>
        <w:t xml:space="preserve"> + β</w:t>
      </w:r>
      <w:r w:rsidRPr="00C90272">
        <w:rPr>
          <w:rFonts w:ascii="Bookman Old Style" w:hAnsi="Bookman Old Style"/>
          <w:noProof/>
          <w:vertAlign w:val="subscript"/>
          <w:lang w:val="id-ID"/>
        </w:rPr>
        <w:t>1</w:t>
      </w:r>
      <w:r w:rsidRPr="00C90272">
        <w:rPr>
          <w:rFonts w:ascii="Bookman Old Style" w:hAnsi="Bookman Old Style"/>
          <w:noProof/>
        </w:rPr>
        <w:t>SB</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β</w:t>
      </w:r>
      <w:r w:rsidRPr="00C90272">
        <w:rPr>
          <w:rFonts w:ascii="Bookman Old Style" w:hAnsi="Bookman Old Style"/>
          <w:noProof/>
          <w:vertAlign w:val="subscript"/>
        </w:rPr>
        <w:t>2</w:t>
      </w:r>
      <w:r w:rsidRPr="00C90272">
        <w:rPr>
          <w:rFonts w:ascii="Bookman Old Style" w:hAnsi="Bookman Old Style"/>
          <w:noProof/>
          <w:lang w:val="id-ID"/>
        </w:rPr>
        <w:t>Leverage</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β</w:t>
      </w:r>
      <w:r w:rsidRPr="00C90272">
        <w:rPr>
          <w:rFonts w:ascii="Bookman Old Style" w:hAnsi="Bookman Old Style"/>
          <w:noProof/>
          <w:vertAlign w:val="subscript"/>
        </w:rPr>
        <w:t>3</w:t>
      </w:r>
      <w:r w:rsidRPr="00C90272">
        <w:rPr>
          <w:rFonts w:ascii="Bookman Old Style" w:hAnsi="Bookman Old Style"/>
          <w:noProof/>
          <w:lang w:val="id-ID"/>
        </w:rPr>
        <w:t>Profit</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β</w:t>
      </w:r>
      <w:r w:rsidRPr="00C90272">
        <w:rPr>
          <w:rFonts w:ascii="Bookman Old Style" w:hAnsi="Bookman Old Style"/>
          <w:noProof/>
          <w:vertAlign w:val="subscript"/>
          <w:lang w:val="id-ID"/>
        </w:rPr>
        <w:t>4</w:t>
      </w:r>
      <w:r w:rsidRPr="00C90272">
        <w:rPr>
          <w:rFonts w:ascii="Bookman Old Style" w:hAnsi="Bookman Old Style"/>
          <w:noProof/>
          <w:lang w:val="id-ID"/>
        </w:rPr>
        <w:t>Age</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β</w:t>
      </w:r>
      <w:r w:rsidRPr="00C90272">
        <w:rPr>
          <w:rFonts w:ascii="Bookman Old Style" w:hAnsi="Bookman Old Style"/>
          <w:noProof/>
          <w:vertAlign w:val="subscript"/>
          <w:lang w:val="id-ID"/>
        </w:rPr>
        <w:t>5</w:t>
      </w:r>
      <w:r w:rsidRPr="00C90272">
        <w:rPr>
          <w:rFonts w:ascii="Bookman Old Style" w:hAnsi="Bookman Old Style"/>
          <w:noProof/>
          <w:lang w:val="id-ID"/>
        </w:rPr>
        <w:t>Size</w:t>
      </w:r>
      <w:r w:rsidRPr="00C90272">
        <w:rPr>
          <w:rFonts w:ascii="Bookman Old Style" w:hAnsi="Bookman Old Style"/>
          <w:noProof/>
          <w:vertAlign w:val="subscript"/>
          <w:lang w:val="id-ID"/>
        </w:rPr>
        <w:t>i,t</w:t>
      </w:r>
      <w:r w:rsidRPr="00C90272">
        <w:rPr>
          <w:rFonts w:ascii="Bookman Old Style" w:hAnsi="Bookman Old Style"/>
          <w:noProof/>
          <w:lang w:val="id-ID"/>
        </w:rPr>
        <w:t xml:space="preserve"> + ε</w:t>
      </w:r>
    </w:p>
    <w:p w:rsidR="00193E6A" w:rsidRPr="00C90272" w:rsidRDefault="00193E6A" w:rsidP="00193E6A">
      <w:pPr>
        <w:jc w:val="both"/>
        <w:rPr>
          <w:rFonts w:ascii="Bookman Old Style" w:hAnsi="Bookman Old Style"/>
          <w:w w:val="105"/>
        </w:rPr>
      </w:pPr>
    </w:p>
    <w:p w:rsidR="00193E6A" w:rsidRPr="00C90272" w:rsidRDefault="00193E6A" w:rsidP="00193E6A">
      <w:pPr>
        <w:jc w:val="both"/>
        <w:rPr>
          <w:rFonts w:ascii="Bookman Old Style" w:hAnsi="Bookman Old Style"/>
          <w:b/>
          <w:w w:val="105"/>
          <w:lang w:val="id-ID"/>
        </w:rPr>
      </w:pPr>
      <w:r w:rsidRPr="00C90272">
        <w:rPr>
          <w:rFonts w:ascii="Bookman Old Style" w:hAnsi="Bookman Old Style"/>
          <w:b/>
          <w:w w:val="105"/>
        </w:rPr>
        <w:t>Result</w:t>
      </w:r>
      <w:r w:rsidRPr="00C90272">
        <w:rPr>
          <w:rFonts w:ascii="Bookman Old Style" w:hAnsi="Bookman Old Style"/>
          <w:b/>
          <w:w w:val="105"/>
          <w:lang w:val="id-ID"/>
        </w:rPr>
        <w:t xml:space="preserve"> and Discussion</w:t>
      </w:r>
    </w:p>
    <w:p w:rsidR="006B731F" w:rsidRPr="00C90272" w:rsidRDefault="006B731F" w:rsidP="00193E6A">
      <w:pPr>
        <w:jc w:val="both"/>
        <w:rPr>
          <w:rFonts w:ascii="Bookman Old Style" w:hAnsi="Bookman Old Style"/>
          <w:noProof/>
        </w:rPr>
      </w:pPr>
    </w:p>
    <w:p w:rsidR="00193E6A" w:rsidRPr="00C90272" w:rsidRDefault="00193E6A" w:rsidP="00193E6A">
      <w:pPr>
        <w:jc w:val="both"/>
        <w:rPr>
          <w:rFonts w:ascii="Bookman Old Style" w:hAnsi="Bookman Old Style"/>
          <w:noProof/>
          <w:lang w:val="id-ID"/>
        </w:rPr>
      </w:pPr>
      <w:r w:rsidRPr="00C90272">
        <w:rPr>
          <w:rFonts w:ascii="Bookman Old Style" w:hAnsi="Bookman Old Style"/>
          <w:noProof/>
        </w:rPr>
        <w:t>Table 1 presents a summary of statistics which will then be used to analyze the significance of the regression equation. The results show at least one independent supervisory board (ISB) in non-financial companies in Indonesia, and the highest number of the supervisory board (N.SB) is 15 people. The proportion of independent supervisory boards (P.ISB) to the total number of supervisory boards is in the range of 12.5 to 75 percent. This value can indicate the different concerns between each firm in viewing the role of the independent supervisory board in corporate governance in Indonesia. The public's highest valuation of the firm is up to 16.4 times the book value of its equity (MTB = 16</w:t>
      </w:r>
      <w:r w:rsidRPr="00C90272">
        <w:rPr>
          <w:rFonts w:ascii="Bookman Old Style" w:hAnsi="Bookman Old Style"/>
          <w:noProof/>
          <w:lang w:val="id-ID"/>
        </w:rPr>
        <w:t>.</w:t>
      </w:r>
      <w:r w:rsidRPr="00C90272">
        <w:rPr>
          <w:rFonts w:ascii="Bookman Old Style" w:hAnsi="Bookman Old Style"/>
          <w:noProof/>
        </w:rPr>
        <w:t>4114).</w:t>
      </w:r>
    </w:p>
    <w:p w:rsidR="00193E6A" w:rsidRDefault="00193E6A" w:rsidP="00193E6A">
      <w:pPr>
        <w:jc w:val="both"/>
        <w:rPr>
          <w:rFonts w:ascii="Bookman Old Style" w:hAnsi="Bookman Old Style"/>
          <w:noProof/>
          <w:lang w:val="id-ID"/>
        </w:rPr>
      </w:pPr>
    </w:p>
    <w:p w:rsidR="00C90272" w:rsidRDefault="00C90272" w:rsidP="00193E6A">
      <w:pPr>
        <w:jc w:val="both"/>
        <w:rPr>
          <w:rFonts w:ascii="Bookman Old Style" w:hAnsi="Bookman Old Style"/>
          <w:noProof/>
          <w:lang w:val="id-ID"/>
        </w:rPr>
      </w:pPr>
    </w:p>
    <w:p w:rsidR="00C90272" w:rsidRDefault="00C90272" w:rsidP="00193E6A">
      <w:pPr>
        <w:jc w:val="both"/>
        <w:rPr>
          <w:rFonts w:ascii="Bookman Old Style" w:hAnsi="Bookman Old Style"/>
          <w:noProof/>
          <w:lang w:val="id-ID"/>
        </w:rPr>
      </w:pPr>
    </w:p>
    <w:p w:rsidR="006B731F" w:rsidRPr="00C90272" w:rsidRDefault="00193E6A" w:rsidP="00193E6A">
      <w:pPr>
        <w:jc w:val="center"/>
        <w:rPr>
          <w:rFonts w:ascii="Bookman Old Style" w:hAnsi="Bookman Old Style"/>
          <w:noProof/>
          <w:lang w:val="id-ID"/>
        </w:rPr>
      </w:pPr>
      <w:bookmarkStart w:id="0" w:name="_GoBack"/>
      <w:bookmarkEnd w:id="0"/>
      <w:r w:rsidRPr="00C90272">
        <w:rPr>
          <w:rFonts w:ascii="Bookman Old Style" w:hAnsi="Bookman Old Style"/>
          <w:noProof/>
          <w:lang w:val="id-ID"/>
        </w:rPr>
        <w:lastRenderedPageBreak/>
        <w:t>Table 1</w:t>
      </w:r>
    </w:p>
    <w:p w:rsidR="00193E6A" w:rsidRPr="00C90272" w:rsidRDefault="00193E6A" w:rsidP="00193E6A">
      <w:pPr>
        <w:jc w:val="center"/>
        <w:rPr>
          <w:rFonts w:ascii="Bookman Old Style" w:hAnsi="Bookman Old Style"/>
          <w:noProof/>
          <w:lang w:val="id-ID"/>
        </w:rPr>
      </w:pPr>
      <w:r w:rsidRPr="00C90272">
        <w:rPr>
          <w:rFonts w:ascii="Bookman Old Style" w:hAnsi="Bookman Old Style"/>
          <w:noProof/>
          <w:lang w:val="id-ID"/>
        </w:rPr>
        <w:t>Descriptive statistics</w:t>
      </w:r>
    </w:p>
    <w:p w:rsidR="0061427E" w:rsidRPr="00C90272" w:rsidRDefault="0061427E" w:rsidP="00193E6A">
      <w:pPr>
        <w:jc w:val="center"/>
        <w:rPr>
          <w:rFonts w:ascii="Bookman Old Style" w:hAnsi="Bookman Old Style"/>
          <w:noProof/>
          <w:lang w:val="id-ID"/>
        </w:rPr>
      </w:pPr>
    </w:p>
    <w:tbl>
      <w:tblPr>
        <w:tblW w:w="8054" w:type="dxa"/>
        <w:tblInd w:w="91" w:type="dxa"/>
        <w:tblLook w:val="04A0" w:firstRow="1" w:lastRow="0" w:firstColumn="1" w:lastColumn="0" w:noHBand="0" w:noVBand="1"/>
      </w:tblPr>
      <w:tblGrid>
        <w:gridCol w:w="1718"/>
        <w:gridCol w:w="1584"/>
        <w:gridCol w:w="1584"/>
        <w:gridCol w:w="1584"/>
        <w:gridCol w:w="1584"/>
      </w:tblGrid>
      <w:tr w:rsidR="00193E6A" w:rsidRPr="00C90272" w:rsidTr="0061427E">
        <w:trPr>
          <w:trHeight w:val="20"/>
        </w:trPr>
        <w:tc>
          <w:tcPr>
            <w:tcW w:w="1718"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61427E">
            <w:pPr>
              <w:rPr>
                <w:rFonts w:ascii="Bookman Old Style" w:hAnsi="Bookman Old Style"/>
                <w:noProof/>
                <w:color w:val="000000"/>
                <w:lang w:val="id-ID" w:eastAsia="id-ID"/>
              </w:rPr>
            </w:pPr>
            <w:r w:rsidRPr="00C90272">
              <w:rPr>
                <w:rFonts w:ascii="Bookman Old Style" w:hAnsi="Bookman Old Style"/>
                <w:noProof/>
                <w:color w:val="000000"/>
                <w:lang w:val="id-ID" w:eastAsia="id-ID"/>
              </w:rPr>
              <w:t>Variable</w:t>
            </w:r>
          </w:p>
        </w:tc>
        <w:tc>
          <w:tcPr>
            <w:tcW w:w="1584"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61427E">
            <w:pPr>
              <w:ind w:left="318"/>
              <w:rPr>
                <w:rFonts w:ascii="Bookman Old Style" w:hAnsi="Bookman Old Style"/>
                <w:noProof/>
                <w:color w:val="000000"/>
                <w:lang w:val="id-ID" w:eastAsia="id-ID"/>
              </w:rPr>
            </w:pPr>
            <w:r w:rsidRPr="00C90272">
              <w:rPr>
                <w:rFonts w:ascii="Bookman Old Style" w:hAnsi="Bookman Old Style"/>
                <w:noProof/>
                <w:color w:val="000000"/>
                <w:lang w:val="id-ID" w:eastAsia="id-ID"/>
              </w:rPr>
              <w:t>Mean</w:t>
            </w:r>
          </w:p>
        </w:tc>
        <w:tc>
          <w:tcPr>
            <w:tcW w:w="1584"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61427E">
            <w:pPr>
              <w:ind w:left="318"/>
              <w:rPr>
                <w:rFonts w:ascii="Bookman Old Style" w:hAnsi="Bookman Old Style"/>
                <w:noProof/>
                <w:color w:val="000000"/>
                <w:lang w:val="id-ID" w:eastAsia="id-ID"/>
              </w:rPr>
            </w:pPr>
            <w:r w:rsidRPr="00C90272">
              <w:rPr>
                <w:rFonts w:ascii="Bookman Old Style" w:hAnsi="Bookman Old Style"/>
                <w:noProof/>
                <w:color w:val="000000"/>
                <w:lang w:val="id-ID" w:eastAsia="id-ID"/>
              </w:rPr>
              <w:t>Std. Dev.</w:t>
            </w:r>
          </w:p>
        </w:tc>
        <w:tc>
          <w:tcPr>
            <w:tcW w:w="1584"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61427E">
            <w:pPr>
              <w:ind w:left="318"/>
              <w:rPr>
                <w:rFonts w:ascii="Bookman Old Style" w:hAnsi="Bookman Old Style"/>
                <w:noProof/>
                <w:color w:val="000000"/>
                <w:lang w:val="id-ID" w:eastAsia="id-ID"/>
              </w:rPr>
            </w:pPr>
            <w:r w:rsidRPr="00C90272">
              <w:rPr>
                <w:rFonts w:ascii="Bookman Old Style" w:hAnsi="Bookman Old Style"/>
                <w:noProof/>
                <w:color w:val="000000"/>
                <w:lang w:val="id-ID" w:eastAsia="id-ID"/>
              </w:rPr>
              <w:t>Min</w:t>
            </w:r>
          </w:p>
        </w:tc>
        <w:tc>
          <w:tcPr>
            <w:tcW w:w="1584"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61427E">
            <w:pPr>
              <w:ind w:left="318"/>
              <w:rPr>
                <w:rFonts w:ascii="Bookman Old Style" w:hAnsi="Bookman Old Style"/>
                <w:noProof/>
                <w:color w:val="000000"/>
                <w:lang w:val="id-ID" w:eastAsia="id-ID"/>
              </w:rPr>
            </w:pPr>
            <w:r w:rsidRPr="00C90272">
              <w:rPr>
                <w:rFonts w:ascii="Bookman Old Style" w:hAnsi="Bookman Old Style"/>
                <w:noProof/>
                <w:color w:val="000000"/>
                <w:lang w:val="id-ID" w:eastAsia="id-ID"/>
              </w:rPr>
              <w:t>Max</w:t>
            </w:r>
          </w:p>
        </w:tc>
      </w:tr>
      <w:tr w:rsidR="00193E6A" w:rsidRPr="00C90272" w:rsidTr="0061427E">
        <w:trPr>
          <w:trHeight w:val="20"/>
        </w:trPr>
        <w:tc>
          <w:tcPr>
            <w:tcW w:w="1718"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p>
        </w:tc>
        <w:tc>
          <w:tcPr>
            <w:tcW w:w="1584"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p>
        </w:tc>
        <w:tc>
          <w:tcPr>
            <w:tcW w:w="1584"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p>
        </w:tc>
        <w:tc>
          <w:tcPr>
            <w:tcW w:w="1584"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p>
        </w:tc>
        <w:tc>
          <w:tcPr>
            <w:tcW w:w="1584"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p>
        </w:tc>
      </w:tr>
      <w:tr w:rsidR="00193E6A" w:rsidRPr="00C90272" w:rsidTr="0061427E">
        <w:trPr>
          <w:trHeight w:val="20"/>
        </w:trPr>
        <w:tc>
          <w:tcPr>
            <w:tcW w:w="1718"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r w:rsidRPr="00C90272">
              <w:rPr>
                <w:rFonts w:ascii="Bookman Old Style" w:hAnsi="Bookman Old Style"/>
                <w:noProof/>
                <w:color w:val="000000"/>
                <w:lang w:val="id-ID" w:eastAsia="id-ID"/>
              </w:rPr>
              <w:t>Tobins Q</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450"/>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1.4213</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78"/>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1.7894</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96"/>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0.1558</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24"/>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13.2935</w:t>
            </w:r>
          </w:p>
        </w:tc>
      </w:tr>
      <w:tr w:rsidR="00193E6A" w:rsidRPr="00C90272" w:rsidTr="0061427E">
        <w:trPr>
          <w:trHeight w:val="20"/>
        </w:trPr>
        <w:tc>
          <w:tcPr>
            <w:tcW w:w="1718"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r w:rsidRPr="00C90272">
              <w:rPr>
                <w:rFonts w:ascii="Bookman Old Style" w:hAnsi="Bookman Old Style"/>
                <w:noProof/>
                <w:color w:val="000000"/>
                <w:lang w:val="id-ID" w:eastAsia="id-ID"/>
              </w:rPr>
              <w:t>MTB</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450"/>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1.4737</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78"/>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2.5391</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96"/>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-2.8612</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24"/>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16.4114</w:t>
            </w:r>
          </w:p>
        </w:tc>
      </w:tr>
      <w:tr w:rsidR="00193E6A" w:rsidRPr="00C90272" w:rsidTr="0061427E">
        <w:trPr>
          <w:trHeight w:val="20"/>
        </w:trPr>
        <w:tc>
          <w:tcPr>
            <w:tcW w:w="1718"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lang w:val="id-ID" w:eastAsia="id-ID"/>
              </w:rPr>
            </w:pPr>
            <w:r w:rsidRPr="00C90272">
              <w:rPr>
                <w:rFonts w:ascii="Bookman Old Style" w:hAnsi="Bookman Old Style"/>
                <w:noProof/>
                <w:lang w:val="id-ID" w:eastAsia="id-ID"/>
              </w:rPr>
              <w:t>ISB</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450"/>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1.5439</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78"/>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0.6983</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96"/>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1.0000</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24"/>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4.0000</w:t>
            </w:r>
          </w:p>
        </w:tc>
      </w:tr>
      <w:tr w:rsidR="00193E6A" w:rsidRPr="00C90272" w:rsidTr="0061427E">
        <w:trPr>
          <w:trHeight w:val="20"/>
        </w:trPr>
        <w:tc>
          <w:tcPr>
            <w:tcW w:w="1718"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lang w:val="id-ID" w:eastAsia="id-ID"/>
              </w:rPr>
            </w:pPr>
            <w:r w:rsidRPr="00C90272">
              <w:rPr>
                <w:rFonts w:ascii="Bookman Old Style" w:hAnsi="Bookman Old Style"/>
                <w:noProof/>
                <w:lang w:val="id-ID" w:eastAsia="id-ID"/>
              </w:rPr>
              <w:t>P.ISB</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450"/>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0.3916</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78"/>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0.0998</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96"/>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0.1250</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24"/>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0.7500</w:t>
            </w:r>
          </w:p>
        </w:tc>
      </w:tr>
      <w:tr w:rsidR="00193E6A" w:rsidRPr="00C90272" w:rsidTr="0061427E">
        <w:trPr>
          <w:trHeight w:val="20"/>
        </w:trPr>
        <w:tc>
          <w:tcPr>
            <w:tcW w:w="1718"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lang w:val="id-ID" w:eastAsia="id-ID"/>
              </w:rPr>
            </w:pPr>
            <w:r w:rsidRPr="00C90272">
              <w:rPr>
                <w:rFonts w:ascii="Bookman Old Style" w:hAnsi="Bookman Old Style"/>
                <w:noProof/>
                <w:lang w:val="id-ID" w:eastAsia="id-ID"/>
              </w:rPr>
              <w:t>N.SB</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450"/>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4.0711</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78"/>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1.8495</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96"/>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2.0000</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24"/>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15.0000</w:t>
            </w:r>
          </w:p>
        </w:tc>
      </w:tr>
      <w:tr w:rsidR="00193E6A" w:rsidRPr="00C90272" w:rsidTr="0061427E">
        <w:trPr>
          <w:trHeight w:val="20"/>
        </w:trPr>
        <w:tc>
          <w:tcPr>
            <w:tcW w:w="1718"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r w:rsidRPr="00C90272">
              <w:rPr>
                <w:rFonts w:ascii="Bookman Old Style" w:hAnsi="Bookman Old Style"/>
                <w:noProof/>
                <w:color w:val="000000"/>
                <w:lang w:val="id-ID" w:eastAsia="id-ID"/>
              </w:rPr>
              <w:t>Leverage</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450"/>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2.8075</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78"/>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44.8880</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96"/>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0.0018</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24"/>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973.4065</w:t>
            </w:r>
          </w:p>
        </w:tc>
      </w:tr>
      <w:tr w:rsidR="00193E6A" w:rsidRPr="00C90272" w:rsidTr="0061427E">
        <w:trPr>
          <w:trHeight w:val="20"/>
        </w:trPr>
        <w:tc>
          <w:tcPr>
            <w:tcW w:w="1718"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r w:rsidRPr="00C90272">
              <w:rPr>
                <w:rFonts w:ascii="Bookman Old Style" w:hAnsi="Bookman Old Style"/>
                <w:noProof/>
                <w:color w:val="000000"/>
                <w:lang w:val="id-ID" w:eastAsia="id-ID"/>
              </w:rPr>
              <w:t>Profit</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450"/>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-0.0034</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78"/>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0.3005</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96"/>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-4.7987</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24"/>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0.6070</w:t>
            </w:r>
          </w:p>
        </w:tc>
      </w:tr>
      <w:tr w:rsidR="00193E6A" w:rsidRPr="00C90272" w:rsidTr="0061427E">
        <w:trPr>
          <w:trHeight w:val="20"/>
        </w:trPr>
        <w:tc>
          <w:tcPr>
            <w:tcW w:w="1718" w:type="dxa"/>
            <w:tcBorders>
              <w:top w:val="nil"/>
              <w:left w:val="nil"/>
              <w:bottom w:val="nil"/>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r w:rsidRPr="00C90272">
              <w:rPr>
                <w:rFonts w:ascii="Bookman Old Style" w:hAnsi="Bookman Old Style"/>
                <w:noProof/>
                <w:color w:val="000000"/>
                <w:lang w:val="id-ID" w:eastAsia="id-ID"/>
              </w:rPr>
              <w:t>Age</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450"/>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15.5484</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78"/>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10.6331</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96"/>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1.0568</w:t>
            </w:r>
          </w:p>
        </w:tc>
        <w:tc>
          <w:tcPr>
            <w:tcW w:w="1584" w:type="dxa"/>
            <w:tcBorders>
              <w:top w:val="nil"/>
              <w:left w:val="nil"/>
              <w:bottom w:val="nil"/>
              <w:right w:val="nil"/>
            </w:tcBorders>
            <w:shd w:val="clear" w:color="auto" w:fill="auto"/>
            <w:noWrap/>
            <w:vAlign w:val="bottom"/>
            <w:hideMark/>
          </w:tcPr>
          <w:p w:rsidR="00193E6A" w:rsidRPr="00C90272" w:rsidRDefault="00193E6A" w:rsidP="0061427E">
            <w:pPr>
              <w:ind w:right="324"/>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69.9959</w:t>
            </w:r>
          </w:p>
        </w:tc>
      </w:tr>
      <w:tr w:rsidR="00193E6A" w:rsidRPr="00C90272" w:rsidTr="0061427E">
        <w:trPr>
          <w:trHeight w:val="20"/>
        </w:trPr>
        <w:tc>
          <w:tcPr>
            <w:tcW w:w="1718" w:type="dxa"/>
            <w:tcBorders>
              <w:top w:val="nil"/>
              <w:left w:val="nil"/>
              <w:bottom w:val="single" w:sz="4" w:space="0" w:color="auto"/>
              <w:right w:val="nil"/>
            </w:tcBorders>
            <w:shd w:val="clear" w:color="auto" w:fill="auto"/>
            <w:noWrap/>
            <w:vAlign w:val="bottom"/>
            <w:hideMark/>
          </w:tcPr>
          <w:p w:rsidR="00193E6A" w:rsidRPr="00C90272" w:rsidRDefault="00193E6A" w:rsidP="0061427E">
            <w:pPr>
              <w:rPr>
                <w:rFonts w:ascii="Bookman Old Style" w:hAnsi="Bookman Old Style"/>
                <w:noProof/>
                <w:color w:val="000000"/>
                <w:lang w:val="id-ID" w:eastAsia="id-ID"/>
              </w:rPr>
            </w:pPr>
            <w:r w:rsidRPr="00C90272">
              <w:rPr>
                <w:rFonts w:ascii="Bookman Old Style" w:hAnsi="Bookman Old Style"/>
                <w:noProof/>
                <w:color w:val="000000"/>
                <w:lang w:val="id-ID" w:eastAsia="id-ID"/>
              </w:rPr>
              <w:t>Size</w:t>
            </w:r>
          </w:p>
        </w:tc>
        <w:tc>
          <w:tcPr>
            <w:tcW w:w="1584" w:type="dxa"/>
            <w:tcBorders>
              <w:top w:val="nil"/>
              <w:left w:val="nil"/>
              <w:bottom w:val="single" w:sz="4" w:space="0" w:color="auto"/>
              <w:right w:val="nil"/>
            </w:tcBorders>
            <w:shd w:val="clear" w:color="auto" w:fill="auto"/>
            <w:noWrap/>
            <w:vAlign w:val="bottom"/>
            <w:hideMark/>
          </w:tcPr>
          <w:p w:rsidR="00193E6A" w:rsidRPr="00C90272" w:rsidRDefault="00193E6A" w:rsidP="0061427E">
            <w:pPr>
              <w:ind w:right="450"/>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28.5171</w:t>
            </w:r>
          </w:p>
        </w:tc>
        <w:tc>
          <w:tcPr>
            <w:tcW w:w="1584" w:type="dxa"/>
            <w:tcBorders>
              <w:top w:val="nil"/>
              <w:left w:val="nil"/>
              <w:bottom w:val="single" w:sz="4" w:space="0" w:color="auto"/>
              <w:right w:val="nil"/>
            </w:tcBorders>
            <w:shd w:val="clear" w:color="auto" w:fill="auto"/>
            <w:noWrap/>
            <w:vAlign w:val="bottom"/>
            <w:hideMark/>
          </w:tcPr>
          <w:p w:rsidR="00193E6A" w:rsidRPr="00C90272" w:rsidRDefault="00193E6A" w:rsidP="0061427E">
            <w:pPr>
              <w:ind w:right="378"/>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1.7224</w:t>
            </w:r>
          </w:p>
        </w:tc>
        <w:tc>
          <w:tcPr>
            <w:tcW w:w="1584" w:type="dxa"/>
            <w:tcBorders>
              <w:top w:val="nil"/>
              <w:left w:val="nil"/>
              <w:bottom w:val="single" w:sz="4" w:space="0" w:color="auto"/>
              <w:right w:val="nil"/>
            </w:tcBorders>
            <w:shd w:val="clear" w:color="auto" w:fill="auto"/>
            <w:noWrap/>
            <w:vAlign w:val="bottom"/>
            <w:hideMark/>
          </w:tcPr>
          <w:p w:rsidR="00193E6A" w:rsidRPr="00C90272" w:rsidRDefault="00193E6A" w:rsidP="0061427E">
            <w:pPr>
              <w:ind w:right="396"/>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22.8369</w:t>
            </w:r>
          </w:p>
        </w:tc>
        <w:tc>
          <w:tcPr>
            <w:tcW w:w="1584" w:type="dxa"/>
            <w:tcBorders>
              <w:top w:val="nil"/>
              <w:left w:val="nil"/>
              <w:bottom w:val="single" w:sz="4" w:space="0" w:color="auto"/>
              <w:right w:val="nil"/>
            </w:tcBorders>
            <w:shd w:val="clear" w:color="auto" w:fill="auto"/>
            <w:noWrap/>
            <w:vAlign w:val="bottom"/>
            <w:hideMark/>
          </w:tcPr>
          <w:p w:rsidR="00193E6A" w:rsidRPr="00C90272" w:rsidRDefault="00193E6A" w:rsidP="0061427E">
            <w:pPr>
              <w:ind w:right="324"/>
              <w:jc w:val="right"/>
              <w:rPr>
                <w:rFonts w:ascii="Bookman Old Style" w:hAnsi="Bookman Old Style"/>
                <w:noProof/>
                <w:color w:val="000000"/>
                <w:lang w:val="id-ID" w:eastAsia="id-ID"/>
              </w:rPr>
            </w:pPr>
            <w:r w:rsidRPr="00C90272">
              <w:rPr>
                <w:rFonts w:ascii="Bookman Old Style" w:hAnsi="Bookman Old Style"/>
                <w:noProof/>
                <w:color w:val="000000"/>
                <w:lang w:val="id-ID" w:eastAsia="id-ID"/>
              </w:rPr>
              <w:t>33.4945</w:t>
            </w:r>
          </w:p>
        </w:tc>
      </w:tr>
    </w:tbl>
    <w:p w:rsidR="00193E6A" w:rsidRPr="00C90272" w:rsidRDefault="00193E6A" w:rsidP="00193E6A">
      <w:pPr>
        <w:jc w:val="both"/>
        <w:rPr>
          <w:rFonts w:ascii="Bookman Old Style" w:hAnsi="Bookman Old Style"/>
          <w:noProof/>
          <w:lang w:val="id-ID"/>
        </w:rPr>
      </w:pPr>
    </w:p>
    <w:p w:rsidR="00193E6A" w:rsidRPr="00C90272" w:rsidRDefault="00193E6A" w:rsidP="00193E6A">
      <w:pPr>
        <w:jc w:val="both"/>
        <w:rPr>
          <w:rFonts w:ascii="Bookman Old Style" w:hAnsi="Bookman Old Style"/>
          <w:noProof/>
          <w:lang w:val="id-ID"/>
        </w:rPr>
      </w:pPr>
      <w:r w:rsidRPr="00C90272">
        <w:rPr>
          <w:rFonts w:ascii="Bookman Old Style" w:hAnsi="Bookman Old Style"/>
          <w:noProof/>
          <w:lang w:val="id-ID"/>
        </w:rPr>
        <w:t>Pearson correlations on variables with a significance threshold of 0.05 are presented in Table 2. The firm value with the Tobin's Q and MTB indicators is positive and significant</w:t>
      </w:r>
      <w:r w:rsidRPr="00C90272">
        <w:rPr>
          <w:rFonts w:ascii="Bookman Old Style" w:hAnsi="Bookman Old Style"/>
          <w:noProof/>
        </w:rPr>
        <w:t xml:space="preserve"> (0.5539)</w:t>
      </w:r>
      <w:r w:rsidRPr="00C90272">
        <w:rPr>
          <w:rFonts w:ascii="Bookman Old Style" w:hAnsi="Bookman Old Style"/>
          <w:noProof/>
          <w:lang w:val="id-ID"/>
        </w:rPr>
        <w:t>, indicating that these two factors are similar proxies in explaining firm value. To ensure consistency of results, investigations related to the role of the independent supervisory board were based on the number (ISB) and the proportion approach (P.ISB). The correlation between the two is 0.2806, which is also significant at the 0.05 level, meaning that the two proxies are also similar indicators in explaining the independent supervisory board variable. To ensure that there are no multicollinearity problems between independent variables in the regression model, a test has been carried out with reference to the variance inflation factor (VIF). The test results show a VIF value less than 5, which means that it is free from multicollinearity problems.</w:t>
      </w:r>
    </w:p>
    <w:p w:rsidR="0061427E" w:rsidRPr="00C90272" w:rsidRDefault="0061427E" w:rsidP="00193E6A">
      <w:pPr>
        <w:jc w:val="both"/>
        <w:rPr>
          <w:rFonts w:ascii="Bookman Old Style" w:hAnsi="Bookman Old Style"/>
          <w:noProof/>
          <w:lang w:val="id-ID"/>
        </w:rPr>
      </w:pPr>
    </w:p>
    <w:p w:rsidR="0061427E" w:rsidRPr="00C90272" w:rsidRDefault="00193E6A" w:rsidP="0061427E">
      <w:pPr>
        <w:jc w:val="center"/>
        <w:rPr>
          <w:rFonts w:ascii="Bookman Old Style" w:hAnsi="Bookman Old Style"/>
          <w:noProof/>
          <w:lang w:val="id-ID"/>
        </w:rPr>
      </w:pPr>
      <w:r w:rsidRPr="00C90272">
        <w:rPr>
          <w:rFonts w:ascii="Bookman Old Style" w:hAnsi="Bookman Old Style"/>
          <w:noProof/>
          <w:lang w:val="id-ID"/>
        </w:rPr>
        <w:t>Table 2</w:t>
      </w:r>
    </w:p>
    <w:p w:rsidR="00193E6A" w:rsidRPr="00C90272" w:rsidRDefault="00193E6A" w:rsidP="0061427E">
      <w:pPr>
        <w:jc w:val="center"/>
        <w:rPr>
          <w:rFonts w:ascii="Bookman Old Style" w:hAnsi="Bookman Old Style"/>
          <w:noProof/>
          <w:lang w:val="id-ID"/>
        </w:rPr>
      </w:pPr>
      <w:r w:rsidRPr="00C90272">
        <w:rPr>
          <w:rFonts w:ascii="Bookman Old Style" w:hAnsi="Bookman Old Style"/>
          <w:noProof/>
          <w:lang w:val="id-ID"/>
        </w:rPr>
        <w:t>Correlation matrix</w:t>
      </w:r>
    </w:p>
    <w:p w:rsidR="0061427E" w:rsidRPr="00C90272" w:rsidRDefault="0061427E" w:rsidP="0061427E">
      <w:pPr>
        <w:jc w:val="center"/>
        <w:rPr>
          <w:rFonts w:ascii="Bookman Old Style" w:hAnsi="Bookman Old Style"/>
          <w:noProof/>
          <w:lang w:val="id-ID"/>
        </w:rPr>
      </w:pPr>
    </w:p>
    <w:tbl>
      <w:tblPr>
        <w:tblW w:w="8522" w:type="dxa"/>
        <w:tblInd w:w="-176" w:type="dxa"/>
        <w:tblLook w:val="04A0" w:firstRow="1" w:lastRow="0" w:firstColumn="1" w:lastColumn="0" w:noHBand="0" w:noVBand="1"/>
      </w:tblPr>
      <w:tblGrid>
        <w:gridCol w:w="1151"/>
        <w:gridCol w:w="864"/>
        <w:gridCol w:w="864"/>
        <w:gridCol w:w="864"/>
        <w:gridCol w:w="864"/>
        <w:gridCol w:w="864"/>
        <w:gridCol w:w="864"/>
        <w:gridCol w:w="864"/>
        <w:gridCol w:w="864"/>
        <w:gridCol w:w="459"/>
      </w:tblGrid>
      <w:tr w:rsidR="00193E6A" w:rsidRPr="00C90272" w:rsidTr="0061427E">
        <w:trPr>
          <w:trHeight w:val="20"/>
        </w:trPr>
        <w:tc>
          <w:tcPr>
            <w:tcW w:w="1151"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F126AA">
            <w:pP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 </w:t>
            </w:r>
          </w:p>
        </w:tc>
        <w:tc>
          <w:tcPr>
            <w:tcW w:w="864" w:type="dxa"/>
            <w:tcBorders>
              <w:top w:val="single" w:sz="4" w:space="0" w:color="auto"/>
              <w:left w:val="nil"/>
              <w:bottom w:val="single" w:sz="4" w:space="0" w:color="auto"/>
              <w:right w:val="nil"/>
            </w:tcBorders>
            <w:shd w:val="clear" w:color="auto" w:fill="F2F2F2" w:themeFill="background1" w:themeFillShade="F2"/>
            <w:noWrap/>
            <w:vAlign w:val="center"/>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c>
          <w:tcPr>
            <w:tcW w:w="864" w:type="dxa"/>
            <w:tcBorders>
              <w:top w:val="single" w:sz="4" w:space="0" w:color="auto"/>
              <w:left w:val="nil"/>
              <w:bottom w:val="single" w:sz="4" w:space="0" w:color="auto"/>
              <w:right w:val="nil"/>
            </w:tcBorders>
            <w:shd w:val="clear" w:color="auto" w:fill="F2F2F2" w:themeFill="background1" w:themeFillShade="F2"/>
            <w:noWrap/>
            <w:vAlign w:val="center"/>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[2]</w:t>
            </w:r>
          </w:p>
        </w:tc>
        <w:tc>
          <w:tcPr>
            <w:tcW w:w="864" w:type="dxa"/>
            <w:tcBorders>
              <w:top w:val="single" w:sz="4" w:space="0" w:color="auto"/>
              <w:left w:val="nil"/>
              <w:bottom w:val="single" w:sz="4" w:space="0" w:color="auto"/>
              <w:right w:val="nil"/>
            </w:tcBorders>
            <w:shd w:val="clear" w:color="auto" w:fill="F2F2F2" w:themeFill="background1" w:themeFillShade="F2"/>
            <w:noWrap/>
            <w:vAlign w:val="center"/>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[3]</w:t>
            </w:r>
          </w:p>
        </w:tc>
        <w:tc>
          <w:tcPr>
            <w:tcW w:w="864" w:type="dxa"/>
            <w:tcBorders>
              <w:top w:val="single" w:sz="4" w:space="0" w:color="auto"/>
              <w:left w:val="nil"/>
              <w:bottom w:val="single" w:sz="4" w:space="0" w:color="auto"/>
              <w:right w:val="nil"/>
            </w:tcBorders>
            <w:shd w:val="clear" w:color="auto" w:fill="F2F2F2" w:themeFill="background1" w:themeFillShade="F2"/>
            <w:noWrap/>
            <w:vAlign w:val="center"/>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[4]</w:t>
            </w:r>
          </w:p>
        </w:tc>
        <w:tc>
          <w:tcPr>
            <w:tcW w:w="864" w:type="dxa"/>
            <w:tcBorders>
              <w:top w:val="single" w:sz="4" w:space="0" w:color="auto"/>
              <w:left w:val="nil"/>
              <w:bottom w:val="single" w:sz="4" w:space="0" w:color="auto"/>
              <w:right w:val="nil"/>
            </w:tcBorders>
            <w:shd w:val="clear" w:color="auto" w:fill="F2F2F2" w:themeFill="background1" w:themeFillShade="F2"/>
            <w:noWrap/>
            <w:vAlign w:val="center"/>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[5]</w:t>
            </w:r>
          </w:p>
        </w:tc>
        <w:tc>
          <w:tcPr>
            <w:tcW w:w="864" w:type="dxa"/>
            <w:tcBorders>
              <w:top w:val="single" w:sz="4" w:space="0" w:color="auto"/>
              <w:left w:val="nil"/>
              <w:bottom w:val="single" w:sz="4" w:space="0" w:color="auto"/>
              <w:right w:val="nil"/>
            </w:tcBorders>
            <w:shd w:val="clear" w:color="auto" w:fill="F2F2F2" w:themeFill="background1" w:themeFillShade="F2"/>
            <w:noWrap/>
            <w:vAlign w:val="center"/>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[6]</w:t>
            </w:r>
          </w:p>
        </w:tc>
        <w:tc>
          <w:tcPr>
            <w:tcW w:w="864" w:type="dxa"/>
            <w:tcBorders>
              <w:top w:val="single" w:sz="4" w:space="0" w:color="auto"/>
              <w:left w:val="nil"/>
              <w:bottom w:val="single" w:sz="4" w:space="0" w:color="auto"/>
              <w:right w:val="nil"/>
            </w:tcBorders>
            <w:shd w:val="clear" w:color="auto" w:fill="F2F2F2" w:themeFill="background1" w:themeFillShade="F2"/>
            <w:noWrap/>
            <w:vAlign w:val="center"/>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[7]</w:t>
            </w:r>
          </w:p>
        </w:tc>
        <w:tc>
          <w:tcPr>
            <w:tcW w:w="864" w:type="dxa"/>
            <w:tcBorders>
              <w:top w:val="single" w:sz="4" w:space="0" w:color="auto"/>
              <w:left w:val="nil"/>
              <w:bottom w:val="single" w:sz="4" w:space="0" w:color="auto"/>
              <w:right w:val="nil"/>
            </w:tcBorders>
            <w:shd w:val="clear" w:color="auto" w:fill="F2F2F2" w:themeFill="background1" w:themeFillShade="F2"/>
            <w:noWrap/>
            <w:vAlign w:val="center"/>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[8]</w:t>
            </w:r>
          </w:p>
        </w:tc>
        <w:tc>
          <w:tcPr>
            <w:tcW w:w="459" w:type="dxa"/>
            <w:tcBorders>
              <w:top w:val="single" w:sz="4" w:space="0" w:color="auto"/>
              <w:left w:val="nil"/>
              <w:bottom w:val="single" w:sz="4" w:space="0" w:color="auto"/>
              <w:right w:val="nil"/>
            </w:tcBorders>
            <w:shd w:val="clear" w:color="auto" w:fill="F2F2F2" w:themeFill="background1" w:themeFillShade="F2"/>
            <w:noWrap/>
            <w:vAlign w:val="center"/>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[9]</w:t>
            </w:r>
          </w:p>
        </w:tc>
      </w:tr>
      <w:tr w:rsidR="00193E6A" w:rsidRPr="00C90272" w:rsidTr="0061427E">
        <w:trPr>
          <w:trHeight w:val="20"/>
        </w:trPr>
        <w:tc>
          <w:tcPr>
            <w:tcW w:w="1151"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rPr>
                <w:rFonts w:ascii="Bookman Old Style" w:hAnsi="Bookman Old Style"/>
                <w:noProof/>
                <w:color w:val="000000"/>
                <w:sz w:val="16"/>
                <w:szCs w:val="16"/>
                <w:lang w:val="id-ID" w:eastAsia="id-ID"/>
              </w:rPr>
            </w:pPr>
          </w:p>
        </w:tc>
        <w:tc>
          <w:tcPr>
            <w:tcW w:w="459" w:type="dxa"/>
            <w:tcBorders>
              <w:top w:val="nil"/>
              <w:left w:val="nil"/>
              <w:bottom w:val="nil"/>
              <w:right w:val="nil"/>
            </w:tcBorders>
            <w:shd w:val="clear" w:color="auto" w:fill="auto"/>
            <w:noWrap/>
            <w:vAlign w:val="bottom"/>
            <w:hideMark/>
          </w:tcPr>
          <w:p w:rsidR="00193E6A" w:rsidRPr="00C90272" w:rsidRDefault="00193E6A" w:rsidP="00F126AA">
            <w:pPr>
              <w:ind w:left="-72" w:right="-72"/>
              <w:rPr>
                <w:rFonts w:ascii="Bookman Old Style" w:hAnsi="Bookman Old Style"/>
                <w:noProof/>
                <w:color w:val="000000"/>
                <w:sz w:val="16"/>
                <w:szCs w:val="16"/>
                <w:lang w:val="id-ID" w:eastAsia="id-ID"/>
              </w:rPr>
            </w:pPr>
          </w:p>
        </w:tc>
      </w:tr>
      <w:tr w:rsidR="00193E6A" w:rsidRPr="00C90272" w:rsidTr="0061427E">
        <w:trPr>
          <w:trHeight w:val="20"/>
        </w:trPr>
        <w:tc>
          <w:tcPr>
            <w:tcW w:w="1151"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 Tobins Q</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459"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r>
      <w:tr w:rsidR="00193E6A" w:rsidRPr="00C90272" w:rsidTr="0061427E">
        <w:trPr>
          <w:trHeight w:val="20"/>
        </w:trPr>
        <w:tc>
          <w:tcPr>
            <w:tcW w:w="1151"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2. MTB</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0.5539*</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459"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r>
      <w:tr w:rsidR="00193E6A" w:rsidRPr="00C90272" w:rsidTr="0061427E">
        <w:trPr>
          <w:trHeight w:val="20"/>
        </w:trPr>
        <w:tc>
          <w:tcPr>
            <w:tcW w:w="1151"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3. ISB</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-0.0226</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0.0578</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459"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r>
      <w:tr w:rsidR="00193E6A" w:rsidRPr="00C90272" w:rsidTr="0061427E">
        <w:trPr>
          <w:trHeight w:val="20"/>
        </w:trPr>
        <w:tc>
          <w:tcPr>
            <w:tcW w:w="1151"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4. P.ISB</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0.1008*</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0.0389</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0.2806*</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459"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r>
      <w:tr w:rsidR="00193E6A" w:rsidRPr="00C90272" w:rsidTr="0061427E">
        <w:trPr>
          <w:trHeight w:val="20"/>
        </w:trPr>
        <w:tc>
          <w:tcPr>
            <w:tcW w:w="1151"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eastAsia="id-ID"/>
              </w:rPr>
            </w:pPr>
            <w:r w:rsidRPr="00C90272">
              <w:rPr>
                <w:rFonts w:ascii="Bookman Old Style" w:hAnsi="Bookman Old Style"/>
                <w:noProof/>
                <w:sz w:val="16"/>
                <w:szCs w:val="16"/>
                <w:lang w:val="id-ID" w:eastAsia="id-ID"/>
              </w:rPr>
              <w:t>5. N.</w:t>
            </w:r>
            <w:r w:rsidRPr="00C90272">
              <w:rPr>
                <w:rFonts w:ascii="Bookman Old Style" w:hAnsi="Bookman Old Style"/>
                <w:noProof/>
                <w:sz w:val="16"/>
                <w:szCs w:val="16"/>
                <w:lang w:eastAsia="id-ID"/>
              </w:rPr>
              <w:t>SB</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-0.0737</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0.0207</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0.8157*</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-0.2740*</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459"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r>
      <w:tr w:rsidR="00193E6A" w:rsidRPr="00C90272" w:rsidTr="0061427E">
        <w:trPr>
          <w:trHeight w:val="20"/>
        </w:trPr>
        <w:tc>
          <w:tcPr>
            <w:tcW w:w="1151"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6. Leverage</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0.3521*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-0.0333</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-0.0398</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-0.0201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-0.0328</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459"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r>
      <w:tr w:rsidR="00193E6A" w:rsidRPr="00C90272" w:rsidTr="0061427E">
        <w:trPr>
          <w:trHeight w:val="20"/>
        </w:trPr>
        <w:tc>
          <w:tcPr>
            <w:tcW w:w="1151"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7. Profit</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-0.2726*</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-0.0141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0.1025*</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-0.1009*</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0.1302*</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-0.0011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c>
          <w:tcPr>
            <w:tcW w:w="86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c>
          <w:tcPr>
            <w:tcW w:w="459"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r>
      <w:tr w:rsidR="00193E6A" w:rsidRPr="00C90272" w:rsidTr="0061427E">
        <w:trPr>
          <w:trHeight w:val="20"/>
        </w:trPr>
        <w:tc>
          <w:tcPr>
            <w:tcW w:w="1151" w:type="dxa"/>
            <w:tcBorders>
              <w:top w:val="nil"/>
              <w:left w:val="nil"/>
              <w:right w:val="nil"/>
            </w:tcBorders>
            <w:shd w:val="clear" w:color="auto" w:fill="auto"/>
            <w:noWrap/>
            <w:vAlign w:val="bottom"/>
            <w:hideMark/>
          </w:tcPr>
          <w:p w:rsidR="00193E6A" w:rsidRPr="00C90272" w:rsidRDefault="00193E6A" w:rsidP="00F126AA">
            <w:pP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8. Age</w:t>
            </w:r>
          </w:p>
        </w:tc>
        <w:tc>
          <w:tcPr>
            <w:tcW w:w="864" w:type="dxa"/>
            <w:tcBorders>
              <w:top w:val="nil"/>
              <w:left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-0.1149*</w:t>
            </w:r>
          </w:p>
        </w:tc>
        <w:tc>
          <w:tcPr>
            <w:tcW w:w="864" w:type="dxa"/>
            <w:tcBorders>
              <w:top w:val="nil"/>
              <w:left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-0.1205*</w:t>
            </w:r>
          </w:p>
        </w:tc>
        <w:tc>
          <w:tcPr>
            <w:tcW w:w="864" w:type="dxa"/>
            <w:tcBorders>
              <w:top w:val="nil"/>
              <w:left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0.2238*</w:t>
            </w:r>
          </w:p>
        </w:tc>
        <w:tc>
          <w:tcPr>
            <w:tcW w:w="864" w:type="dxa"/>
            <w:tcBorders>
              <w:top w:val="nil"/>
              <w:left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-0.0363</w:t>
            </w:r>
          </w:p>
        </w:tc>
        <w:tc>
          <w:tcPr>
            <w:tcW w:w="864" w:type="dxa"/>
            <w:tcBorders>
              <w:top w:val="nil"/>
              <w:left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0.2330*</w:t>
            </w:r>
          </w:p>
        </w:tc>
        <w:tc>
          <w:tcPr>
            <w:tcW w:w="864" w:type="dxa"/>
            <w:tcBorders>
              <w:top w:val="nil"/>
              <w:left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-0.0098</w:t>
            </w:r>
          </w:p>
        </w:tc>
        <w:tc>
          <w:tcPr>
            <w:tcW w:w="864" w:type="dxa"/>
            <w:tcBorders>
              <w:top w:val="nil"/>
              <w:left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0.0288</w:t>
            </w:r>
          </w:p>
        </w:tc>
        <w:tc>
          <w:tcPr>
            <w:tcW w:w="864" w:type="dxa"/>
            <w:tcBorders>
              <w:top w:val="nil"/>
              <w:left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c>
          <w:tcPr>
            <w:tcW w:w="459" w:type="dxa"/>
            <w:tcBorders>
              <w:top w:val="nil"/>
              <w:left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p>
        </w:tc>
      </w:tr>
      <w:tr w:rsidR="00193E6A" w:rsidRPr="00C90272" w:rsidTr="0061427E">
        <w:trPr>
          <w:trHeight w:val="20"/>
        </w:trPr>
        <w:tc>
          <w:tcPr>
            <w:tcW w:w="1151" w:type="dxa"/>
            <w:tcBorders>
              <w:top w:val="nil"/>
              <w:left w:val="nil"/>
              <w:bottom w:val="single" w:sz="4" w:space="0" w:color="auto"/>
              <w:right w:val="nil"/>
            </w:tcBorders>
            <w:shd w:val="clear" w:color="auto" w:fill="auto"/>
            <w:noWrap/>
            <w:vAlign w:val="bottom"/>
            <w:hideMark/>
          </w:tcPr>
          <w:p w:rsidR="00193E6A" w:rsidRPr="00C90272" w:rsidRDefault="00193E6A" w:rsidP="00F126AA">
            <w:pP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9. Size</w:t>
            </w:r>
          </w:p>
        </w:tc>
        <w:tc>
          <w:tcPr>
            <w:tcW w:w="864" w:type="dxa"/>
            <w:tcBorders>
              <w:top w:val="nil"/>
              <w:left w:val="nil"/>
              <w:bottom w:val="single" w:sz="4" w:space="0" w:color="auto"/>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-0.2427*</w:t>
            </w:r>
          </w:p>
        </w:tc>
        <w:tc>
          <w:tcPr>
            <w:tcW w:w="864" w:type="dxa"/>
            <w:tcBorders>
              <w:top w:val="nil"/>
              <w:left w:val="nil"/>
              <w:bottom w:val="single" w:sz="4" w:space="0" w:color="auto"/>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-0.0897</w:t>
            </w:r>
          </w:p>
        </w:tc>
        <w:tc>
          <w:tcPr>
            <w:tcW w:w="864" w:type="dxa"/>
            <w:tcBorders>
              <w:top w:val="nil"/>
              <w:left w:val="nil"/>
              <w:bottom w:val="single" w:sz="4" w:space="0" w:color="auto"/>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0.5271*</w:t>
            </w:r>
          </w:p>
        </w:tc>
        <w:tc>
          <w:tcPr>
            <w:tcW w:w="864" w:type="dxa"/>
            <w:tcBorders>
              <w:top w:val="nil"/>
              <w:left w:val="nil"/>
              <w:bottom w:val="single" w:sz="4" w:space="0" w:color="auto"/>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-0.0736</w:t>
            </w:r>
          </w:p>
        </w:tc>
        <w:tc>
          <w:tcPr>
            <w:tcW w:w="864" w:type="dxa"/>
            <w:tcBorders>
              <w:top w:val="nil"/>
              <w:left w:val="nil"/>
              <w:bottom w:val="single" w:sz="4" w:space="0" w:color="auto"/>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0.5397*</w:t>
            </w:r>
          </w:p>
        </w:tc>
        <w:tc>
          <w:tcPr>
            <w:tcW w:w="864" w:type="dxa"/>
            <w:tcBorders>
              <w:top w:val="nil"/>
              <w:left w:val="nil"/>
              <w:bottom w:val="single" w:sz="4" w:space="0" w:color="auto"/>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-0.1505*</w:t>
            </w:r>
          </w:p>
        </w:tc>
        <w:tc>
          <w:tcPr>
            <w:tcW w:w="864" w:type="dxa"/>
            <w:tcBorders>
              <w:top w:val="nil"/>
              <w:left w:val="nil"/>
              <w:bottom w:val="single" w:sz="4" w:space="0" w:color="auto"/>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0.2745*</w:t>
            </w:r>
          </w:p>
        </w:tc>
        <w:tc>
          <w:tcPr>
            <w:tcW w:w="864" w:type="dxa"/>
            <w:tcBorders>
              <w:top w:val="nil"/>
              <w:left w:val="nil"/>
              <w:bottom w:val="single" w:sz="4" w:space="0" w:color="auto"/>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0.1835*</w:t>
            </w:r>
          </w:p>
        </w:tc>
        <w:tc>
          <w:tcPr>
            <w:tcW w:w="459" w:type="dxa"/>
            <w:tcBorders>
              <w:top w:val="nil"/>
              <w:left w:val="nil"/>
              <w:bottom w:val="single" w:sz="4" w:space="0" w:color="auto"/>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color w:val="000000"/>
                <w:sz w:val="16"/>
                <w:szCs w:val="16"/>
                <w:lang w:val="id-ID" w:eastAsia="id-ID"/>
              </w:rPr>
            </w:pPr>
            <w:r w:rsidRPr="00C90272">
              <w:rPr>
                <w:rFonts w:ascii="Bookman Old Style" w:hAnsi="Bookman Old Style"/>
                <w:noProof/>
                <w:color w:val="000000"/>
                <w:sz w:val="16"/>
                <w:szCs w:val="16"/>
                <w:lang w:val="id-ID" w:eastAsia="id-ID"/>
              </w:rPr>
              <w:t>1</w:t>
            </w:r>
          </w:p>
        </w:tc>
      </w:tr>
      <w:tr w:rsidR="00193E6A" w:rsidRPr="00C90272" w:rsidTr="0061427E">
        <w:trPr>
          <w:trHeight w:val="144"/>
        </w:trPr>
        <w:tc>
          <w:tcPr>
            <w:tcW w:w="8522" w:type="dxa"/>
            <w:gridSpan w:val="10"/>
            <w:tcBorders>
              <w:top w:val="single" w:sz="4" w:space="0" w:color="auto"/>
              <w:left w:val="nil"/>
              <w:right w:val="nil"/>
            </w:tcBorders>
            <w:shd w:val="clear" w:color="auto" w:fill="auto"/>
            <w:noWrap/>
            <w:vAlign w:val="bottom"/>
          </w:tcPr>
          <w:p w:rsidR="00193E6A" w:rsidRPr="00C90272" w:rsidRDefault="00193E6A" w:rsidP="00F126AA">
            <w:pPr>
              <w:ind w:left="-72" w:right="-72"/>
              <w:rPr>
                <w:rFonts w:ascii="Bookman Old Style" w:hAnsi="Bookman Old Style"/>
                <w:noProof/>
                <w:color w:val="000000"/>
                <w:lang w:val="id-ID" w:eastAsia="id-ID"/>
              </w:rPr>
            </w:pPr>
            <w:r w:rsidRPr="00C90272">
              <w:rPr>
                <w:rStyle w:val="jlqj4b"/>
                <w:rFonts w:ascii="Bookman Old Style" w:hAnsi="Bookman Old Style"/>
              </w:rPr>
              <w:t>Note: The symbol * indicates that there is a significant correlation at the 0.05 level</w:t>
            </w:r>
          </w:p>
        </w:tc>
      </w:tr>
    </w:tbl>
    <w:p w:rsidR="00193E6A" w:rsidRPr="00C90272" w:rsidRDefault="00193E6A" w:rsidP="00193E6A">
      <w:pPr>
        <w:jc w:val="both"/>
        <w:rPr>
          <w:rFonts w:ascii="Bookman Old Style" w:hAnsi="Bookman Old Style"/>
          <w:noProof/>
          <w:lang w:val="id-ID"/>
        </w:rPr>
      </w:pPr>
    </w:p>
    <w:p w:rsidR="00193E6A" w:rsidRPr="00C90272" w:rsidRDefault="00193E6A" w:rsidP="00193E6A">
      <w:pPr>
        <w:jc w:val="both"/>
        <w:rPr>
          <w:rFonts w:ascii="Bookman Old Style" w:hAnsi="Bookman Old Style"/>
          <w:b/>
          <w:noProof/>
          <w:lang w:val="id-ID"/>
        </w:rPr>
      </w:pPr>
      <w:r w:rsidRPr="00C90272">
        <w:rPr>
          <w:rFonts w:ascii="Bookman Old Style" w:hAnsi="Bookman Old Style"/>
          <w:b/>
          <w:noProof/>
          <w:lang w:val="id-ID"/>
        </w:rPr>
        <w:t>Regression results</w:t>
      </w:r>
    </w:p>
    <w:p w:rsidR="0061427E" w:rsidRPr="00C90272" w:rsidRDefault="0061427E" w:rsidP="00193E6A">
      <w:pPr>
        <w:jc w:val="both"/>
        <w:rPr>
          <w:rFonts w:ascii="Bookman Old Style" w:hAnsi="Bookman Old Style"/>
          <w:noProof/>
          <w:lang w:val="id-ID"/>
        </w:rPr>
      </w:pPr>
    </w:p>
    <w:p w:rsidR="00193E6A" w:rsidRPr="00C90272" w:rsidRDefault="00193E6A" w:rsidP="00C90272">
      <w:pPr>
        <w:jc w:val="both"/>
        <w:rPr>
          <w:rFonts w:ascii="Bookman Old Style" w:hAnsi="Bookman Old Style"/>
          <w:noProof/>
          <w:lang w:val="id-ID"/>
        </w:rPr>
      </w:pPr>
      <w:r w:rsidRPr="00C90272">
        <w:rPr>
          <w:rFonts w:ascii="Bookman Old Style" w:hAnsi="Bookman Old Style"/>
          <w:noProof/>
          <w:lang w:val="id-ID"/>
        </w:rPr>
        <w:t>The test is carried out with robust standard errors, which are robust to the violation of the assumptions of the statistical model. This study discards as much as one percent of outlier data on this variable to ensure that it is free from outliers in describing firm value during the pandemic</w:t>
      </w:r>
      <w:r w:rsidR="00C90272" w:rsidRPr="00C90272">
        <w:rPr>
          <w:rFonts w:ascii="Bookman Old Style" w:hAnsi="Bookman Old Style"/>
          <w:noProof/>
        </w:rPr>
        <w:t xml:space="preserve"> </w:t>
      </w:r>
      <w:hyperlink w:anchor="References" w:history="1">
        <w:r w:rsidR="00C90272" w:rsidRPr="00C90272">
          <w:rPr>
            <w:rStyle w:val="Hyperlink"/>
            <w:rFonts w:ascii="Bookman Old Style" w:hAnsi="Bookman Old Style"/>
            <w:noProof/>
            <w:u w:val="none"/>
          </w:rPr>
          <w:t>(Kustina et al., 2019)</w:t>
        </w:r>
      </w:hyperlink>
      <w:r w:rsidRPr="00C90272">
        <w:rPr>
          <w:rFonts w:ascii="Bookman Old Style" w:hAnsi="Bookman Old Style"/>
          <w:noProof/>
          <w:lang w:val="id-ID"/>
        </w:rPr>
        <w:t>. Table 3 summarizes the results of the baseline and full model testing in this study with Tobin's Q as a proxy for firm value. First stage model baseline testing shows that leverage</w:t>
      </w:r>
      <w:r w:rsidRPr="00C90272">
        <w:rPr>
          <w:rFonts w:ascii="Bookman Old Style" w:hAnsi="Bookman Old Style"/>
          <w:noProof/>
        </w:rPr>
        <w:t xml:space="preserve"> (β = 0.0130)</w:t>
      </w:r>
      <w:r w:rsidRPr="00C90272">
        <w:rPr>
          <w:rFonts w:ascii="Bookman Old Style" w:hAnsi="Bookman Old Style"/>
          <w:noProof/>
          <w:lang w:val="id-ID"/>
        </w:rPr>
        <w:t xml:space="preserve"> and profitability</w:t>
      </w:r>
      <w:r w:rsidRPr="00C90272">
        <w:rPr>
          <w:rFonts w:ascii="Bookman Old Style" w:hAnsi="Bookman Old Style"/>
          <w:noProof/>
        </w:rPr>
        <w:t xml:space="preserve"> (β = -1.3961)</w:t>
      </w:r>
      <w:r w:rsidRPr="00C90272">
        <w:rPr>
          <w:rFonts w:ascii="Bookman Old Style" w:hAnsi="Bookman Old Style"/>
          <w:noProof/>
          <w:lang w:val="id-ID"/>
        </w:rPr>
        <w:t xml:space="preserve"> are all significant at the 0.01 level, while the firm age</w:t>
      </w:r>
      <w:r w:rsidRPr="00C90272">
        <w:rPr>
          <w:rFonts w:ascii="Bookman Old Style" w:hAnsi="Bookman Old Style"/>
          <w:noProof/>
        </w:rPr>
        <w:t xml:space="preserve"> (β = -</w:t>
      </w:r>
      <w:r w:rsidRPr="00C90272">
        <w:rPr>
          <w:rFonts w:ascii="Bookman Old Style" w:hAnsi="Bookman Old Style"/>
          <w:noProof/>
          <w:lang w:val="id-ID" w:eastAsia="id-ID"/>
        </w:rPr>
        <w:t>0.0164</w:t>
      </w:r>
      <w:r w:rsidRPr="00C90272">
        <w:rPr>
          <w:rFonts w:ascii="Bookman Old Style" w:hAnsi="Bookman Old Style"/>
          <w:noProof/>
          <w:lang w:eastAsia="id-ID"/>
        </w:rPr>
        <w:t xml:space="preserve">) </w:t>
      </w:r>
      <w:r w:rsidRPr="00C90272">
        <w:rPr>
          <w:rFonts w:ascii="Bookman Old Style" w:hAnsi="Bookman Old Style"/>
          <w:noProof/>
          <w:lang w:val="id-ID"/>
        </w:rPr>
        <w:t xml:space="preserve">and firm size </w:t>
      </w:r>
      <w:r w:rsidRPr="00C90272">
        <w:rPr>
          <w:rFonts w:ascii="Bookman Old Style" w:hAnsi="Bookman Old Style"/>
          <w:noProof/>
        </w:rPr>
        <w:t xml:space="preserve">(β = </w:t>
      </w:r>
      <w:r w:rsidRPr="00C90272">
        <w:rPr>
          <w:rFonts w:ascii="Bookman Old Style" w:hAnsi="Bookman Old Style"/>
          <w:noProof/>
          <w:lang w:val="id-ID" w:eastAsia="id-ID"/>
        </w:rPr>
        <w:t>-0.1089</w:t>
      </w:r>
      <w:r w:rsidRPr="00C90272">
        <w:rPr>
          <w:rFonts w:ascii="Bookman Old Style" w:hAnsi="Bookman Old Style"/>
          <w:noProof/>
          <w:lang w:eastAsia="id-ID"/>
        </w:rPr>
        <w:t>)</w:t>
      </w:r>
      <w:r w:rsidRPr="00C90272">
        <w:rPr>
          <w:rFonts w:ascii="Bookman Old Style" w:hAnsi="Bookman Old Style"/>
          <w:noProof/>
          <w:lang w:val="id-ID" w:eastAsia="id-ID"/>
        </w:rPr>
        <w:t xml:space="preserve"> </w:t>
      </w:r>
      <w:r w:rsidRPr="00C90272">
        <w:rPr>
          <w:rFonts w:ascii="Bookman Old Style" w:hAnsi="Bookman Old Style"/>
          <w:noProof/>
          <w:lang w:val="id-ID"/>
        </w:rPr>
        <w:t xml:space="preserve">has a 0.05 </w:t>
      </w:r>
      <w:r w:rsidRPr="00C90272">
        <w:rPr>
          <w:rFonts w:ascii="Bookman Old Style" w:hAnsi="Bookman Old Style"/>
          <w:noProof/>
          <w:lang w:val="id-ID"/>
        </w:rPr>
        <w:lastRenderedPageBreak/>
        <w:t>significance level. Except for the firm's size, the results remain consistent and significant in the second phase of the baseline model test, which is indicated by a significance level of 0.01 after taking into account the industry effects of each firm in the test. Overall, these results suggest that companies that report higher earnings in this regard do not appear to be trusted by investors</w:t>
      </w:r>
      <w:r w:rsidR="00C90272" w:rsidRPr="00C90272">
        <w:rPr>
          <w:rFonts w:ascii="Bookman Old Style" w:hAnsi="Bookman Old Style"/>
          <w:noProof/>
        </w:rPr>
        <w:t xml:space="preserve"> </w:t>
      </w:r>
      <w:hyperlink w:anchor="References" w:history="1">
        <w:r w:rsidR="00C90272" w:rsidRPr="00C90272">
          <w:rPr>
            <w:rStyle w:val="Hyperlink"/>
            <w:rFonts w:ascii="Bookman Old Style" w:hAnsi="Bookman Old Style"/>
            <w:noProof/>
            <w:u w:val="none"/>
          </w:rPr>
          <w:t>(Sugosha &amp; Artini, 2020; Irwanti &amp; Ratnadi, 2021)</w:t>
        </w:r>
      </w:hyperlink>
      <w:r w:rsidRPr="00C90272">
        <w:rPr>
          <w:rFonts w:ascii="Bookman Old Style" w:hAnsi="Bookman Old Style"/>
          <w:noProof/>
          <w:lang w:val="id-ID"/>
        </w:rPr>
        <w:t xml:space="preserve">. The existence of profit-taking also seems to be carried out by investors during the pandemic, which is indicated by the negative relationship between size and age on firm value. This negative relationship between firm size and firm value confirms the size effect issue </w:t>
      </w:r>
      <w:hyperlink w:anchor="References" w:history="1">
        <w:r w:rsidR="0061427E" w:rsidRPr="00C90272">
          <w:rPr>
            <w:rStyle w:val="Hyperlink"/>
            <w:rFonts w:ascii="Bookman Old Style" w:hAnsi="Bookman Old Style"/>
            <w:u w:val="none"/>
          </w:rPr>
          <w:t>(Banz, 1981)</w:t>
        </w:r>
      </w:hyperlink>
      <w:r w:rsidRPr="00C90272">
        <w:rPr>
          <w:rFonts w:ascii="Bookman Old Style" w:hAnsi="Bookman Old Style"/>
          <w:noProof/>
          <w:lang w:val="id-ID"/>
        </w:rPr>
        <w:t xml:space="preserve">. Bounded rationality occurs to investors in making decisions that involve rational and irrational elements. Normal investors are not completely rational in their decision-making because of various behavioral heuristics and biases (bounded rational theory </w:t>
      </w:r>
      <w:hyperlink w:anchor="References" w:history="1">
        <w:r w:rsidR="0061427E" w:rsidRPr="00C90272">
          <w:rPr>
            <w:rStyle w:val="Hyperlink"/>
            <w:rFonts w:ascii="Bookman Old Style" w:hAnsi="Bookman Old Style"/>
            <w:u w:val="none"/>
          </w:rPr>
          <w:t>(Simon, 1955)</w:t>
        </w:r>
      </w:hyperlink>
      <w:r w:rsidRPr="00C90272">
        <w:rPr>
          <w:rFonts w:ascii="Bookman Old Style" w:hAnsi="Bookman Old Style"/>
          <w:noProof/>
          <w:lang w:val="id-ID"/>
        </w:rPr>
        <w:t>).</w:t>
      </w:r>
    </w:p>
    <w:p w:rsidR="00193E6A" w:rsidRPr="00C90272" w:rsidRDefault="00193E6A" w:rsidP="00193E6A">
      <w:pPr>
        <w:jc w:val="both"/>
        <w:rPr>
          <w:rFonts w:ascii="Bookman Old Style" w:hAnsi="Bookman Old Style"/>
          <w:noProof/>
          <w:lang w:val="id-ID"/>
        </w:rPr>
      </w:pPr>
    </w:p>
    <w:p w:rsidR="0061427E" w:rsidRPr="00C90272" w:rsidRDefault="00193E6A" w:rsidP="00193E6A">
      <w:pPr>
        <w:jc w:val="center"/>
        <w:rPr>
          <w:rFonts w:ascii="Bookman Old Style" w:hAnsi="Bookman Old Style"/>
          <w:noProof/>
          <w:lang w:val="id-ID"/>
        </w:rPr>
      </w:pPr>
      <w:r w:rsidRPr="00C90272">
        <w:rPr>
          <w:rFonts w:ascii="Bookman Old Style" w:hAnsi="Bookman Old Style"/>
          <w:noProof/>
          <w:lang w:val="id-ID"/>
        </w:rPr>
        <w:t>Table 3</w:t>
      </w:r>
    </w:p>
    <w:p w:rsidR="00193E6A" w:rsidRPr="00C90272" w:rsidRDefault="00193E6A" w:rsidP="00193E6A">
      <w:pPr>
        <w:jc w:val="center"/>
        <w:rPr>
          <w:rFonts w:ascii="Bookman Old Style" w:hAnsi="Bookman Old Style"/>
          <w:noProof/>
          <w:lang w:val="id-ID"/>
        </w:rPr>
      </w:pPr>
      <w:r w:rsidRPr="00C90272">
        <w:rPr>
          <w:rFonts w:ascii="Bookman Old Style" w:hAnsi="Bookman Old Style"/>
          <w:noProof/>
          <w:lang w:val="id-ID"/>
        </w:rPr>
        <w:t>Baseline and full model</w:t>
      </w:r>
    </w:p>
    <w:p w:rsidR="0061427E" w:rsidRPr="00C90272" w:rsidRDefault="0061427E" w:rsidP="00193E6A">
      <w:pPr>
        <w:jc w:val="center"/>
        <w:rPr>
          <w:rFonts w:ascii="Bookman Old Style" w:hAnsi="Bookman Old Style"/>
          <w:noProof/>
          <w:lang w:val="id-ID"/>
        </w:rPr>
      </w:pPr>
    </w:p>
    <w:tbl>
      <w:tblPr>
        <w:tblW w:w="8054" w:type="dxa"/>
        <w:tblInd w:w="91" w:type="dxa"/>
        <w:tblLook w:val="04A0" w:firstRow="1" w:lastRow="0" w:firstColumn="1" w:lastColumn="0" w:noHBand="0" w:noVBand="1"/>
      </w:tblPr>
      <w:tblGrid>
        <w:gridCol w:w="1435"/>
        <w:gridCol w:w="1134"/>
        <w:gridCol w:w="1114"/>
        <w:gridCol w:w="1151"/>
        <w:gridCol w:w="1076"/>
        <w:gridCol w:w="993"/>
        <w:gridCol w:w="1151"/>
      </w:tblGrid>
      <w:tr w:rsidR="00012883" w:rsidRPr="00C90272" w:rsidTr="00012883">
        <w:trPr>
          <w:trHeight w:val="20"/>
        </w:trPr>
        <w:tc>
          <w:tcPr>
            <w:tcW w:w="1435" w:type="dxa"/>
            <w:vMerge w:val="restart"/>
            <w:tcBorders>
              <w:top w:val="single" w:sz="4" w:space="0" w:color="auto"/>
              <w:left w:val="nil"/>
              <w:right w:val="nil"/>
            </w:tcBorders>
            <w:shd w:val="clear" w:color="auto" w:fill="F2F2F2" w:themeFill="background1" w:themeFillShade="F2"/>
            <w:noWrap/>
            <w:vAlign w:val="center"/>
            <w:hideMark/>
          </w:tcPr>
          <w:p w:rsidR="00012883" w:rsidRPr="00C90272" w:rsidRDefault="00012883" w:rsidP="00012883">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Variables</w:t>
            </w:r>
          </w:p>
        </w:tc>
        <w:tc>
          <w:tcPr>
            <w:tcW w:w="2248" w:type="dxa"/>
            <w:gridSpan w:val="2"/>
            <w:tcBorders>
              <w:top w:val="single" w:sz="4" w:space="0" w:color="auto"/>
              <w:left w:val="nil"/>
              <w:bottom w:val="single" w:sz="4" w:space="0" w:color="auto"/>
              <w:right w:val="nil"/>
            </w:tcBorders>
            <w:shd w:val="clear" w:color="auto" w:fill="F2F2F2" w:themeFill="background1" w:themeFillShade="F2"/>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Baseline Model</w:t>
            </w:r>
          </w:p>
        </w:tc>
        <w:tc>
          <w:tcPr>
            <w:tcW w:w="4371" w:type="dxa"/>
            <w:gridSpan w:val="4"/>
            <w:tcBorders>
              <w:top w:val="single" w:sz="4" w:space="0" w:color="auto"/>
              <w:left w:val="nil"/>
              <w:bottom w:val="single" w:sz="4" w:space="0" w:color="auto"/>
              <w:right w:val="nil"/>
            </w:tcBorders>
            <w:shd w:val="clear" w:color="auto" w:fill="F2F2F2" w:themeFill="background1" w:themeFillShade="F2"/>
            <w:noWrap/>
            <w:vAlign w:val="bottom"/>
            <w:hideMark/>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Full Model</w:t>
            </w:r>
          </w:p>
        </w:tc>
      </w:tr>
      <w:tr w:rsidR="00012883" w:rsidRPr="00C90272" w:rsidTr="00012883">
        <w:trPr>
          <w:trHeight w:val="20"/>
        </w:trPr>
        <w:tc>
          <w:tcPr>
            <w:tcW w:w="1435" w:type="dxa"/>
            <w:vMerge/>
            <w:tcBorders>
              <w:left w:val="nil"/>
              <w:bottom w:val="single" w:sz="4" w:space="0" w:color="auto"/>
              <w:right w:val="nil"/>
            </w:tcBorders>
            <w:shd w:val="clear" w:color="auto" w:fill="F2F2F2" w:themeFill="background1" w:themeFillShade="F2"/>
            <w:noWrap/>
            <w:vAlign w:val="center"/>
            <w:hideMark/>
          </w:tcPr>
          <w:p w:rsidR="00012883" w:rsidRPr="00C90272" w:rsidRDefault="00012883" w:rsidP="00012883">
            <w:pPr>
              <w:rPr>
                <w:rFonts w:ascii="Bookman Old Style" w:hAnsi="Bookman Old Style"/>
                <w:noProof/>
                <w:sz w:val="16"/>
                <w:szCs w:val="16"/>
                <w:lang w:val="id-ID" w:eastAsia="id-ID"/>
              </w:rPr>
            </w:pPr>
          </w:p>
        </w:tc>
        <w:tc>
          <w:tcPr>
            <w:tcW w:w="1134" w:type="dxa"/>
            <w:tcBorders>
              <w:top w:val="single" w:sz="4" w:space="0" w:color="auto"/>
              <w:left w:val="nil"/>
              <w:bottom w:val="single" w:sz="4" w:space="0" w:color="auto"/>
              <w:right w:val="nil"/>
            </w:tcBorders>
            <w:shd w:val="clear" w:color="auto" w:fill="F2F2F2" w:themeFill="background1" w:themeFillShade="F2"/>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w:t>
            </w:r>
          </w:p>
        </w:tc>
        <w:tc>
          <w:tcPr>
            <w:tcW w:w="1114" w:type="dxa"/>
            <w:tcBorders>
              <w:top w:val="single" w:sz="4" w:space="0" w:color="auto"/>
              <w:left w:val="nil"/>
              <w:bottom w:val="single" w:sz="4" w:space="0" w:color="auto"/>
              <w:right w:val="nil"/>
            </w:tcBorders>
            <w:shd w:val="clear" w:color="auto" w:fill="F2F2F2" w:themeFill="background1" w:themeFillShade="F2"/>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[2]</w:t>
            </w:r>
          </w:p>
        </w:tc>
        <w:tc>
          <w:tcPr>
            <w:tcW w:w="1151" w:type="dxa"/>
            <w:tcBorders>
              <w:top w:val="single" w:sz="4" w:space="0" w:color="auto"/>
              <w:left w:val="nil"/>
              <w:bottom w:val="single" w:sz="4" w:space="0" w:color="auto"/>
              <w:right w:val="nil"/>
            </w:tcBorders>
            <w:shd w:val="clear" w:color="auto" w:fill="F2F2F2" w:themeFill="background1" w:themeFillShade="F2"/>
            <w:noWrap/>
            <w:vAlign w:val="bottom"/>
            <w:hideMark/>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[3]</w:t>
            </w:r>
          </w:p>
        </w:tc>
        <w:tc>
          <w:tcPr>
            <w:tcW w:w="1076" w:type="dxa"/>
            <w:tcBorders>
              <w:top w:val="single" w:sz="4" w:space="0" w:color="auto"/>
              <w:left w:val="nil"/>
              <w:bottom w:val="single" w:sz="4" w:space="0" w:color="auto"/>
              <w:right w:val="nil"/>
            </w:tcBorders>
            <w:shd w:val="clear" w:color="auto" w:fill="F2F2F2" w:themeFill="background1" w:themeFillShade="F2"/>
            <w:noWrap/>
            <w:vAlign w:val="bottom"/>
            <w:hideMark/>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[4]</w:t>
            </w:r>
          </w:p>
        </w:tc>
        <w:tc>
          <w:tcPr>
            <w:tcW w:w="993" w:type="dxa"/>
            <w:tcBorders>
              <w:top w:val="single" w:sz="4" w:space="0" w:color="auto"/>
              <w:left w:val="nil"/>
              <w:bottom w:val="single" w:sz="4" w:space="0" w:color="auto"/>
              <w:right w:val="nil"/>
            </w:tcBorders>
            <w:shd w:val="clear" w:color="auto" w:fill="F2F2F2" w:themeFill="background1" w:themeFillShade="F2"/>
            <w:noWrap/>
            <w:vAlign w:val="bottom"/>
            <w:hideMark/>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[5]</w:t>
            </w:r>
          </w:p>
        </w:tc>
        <w:tc>
          <w:tcPr>
            <w:tcW w:w="1151" w:type="dxa"/>
            <w:tcBorders>
              <w:top w:val="single" w:sz="4" w:space="0" w:color="auto"/>
              <w:left w:val="nil"/>
              <w:bottom w:val="single" w:sz="4" w:space="0" w:color="auto"/>
              <w:right w:val="nil"/>
            </w:tcBorders>
            <w:shd w:val="clear" w:color="auto" w:fill="F2F2F2" w:themeFill="background1" w:themeFillShade="F2"/>
            <w:noWrap/>
            <w:vAlign w:val="bottom"/>
            <w:hideMark/>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[6]</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1134" w:type="dxa"/>
            <w:tcBorders>
              <w:top w:val="nil"/>
              <w:left w:val="nil"/>
              <w:bottom w:val="nil"/>
              <w:right w:val="nil"/>
            </w:tcBorders>
          </w:tcPr>
          <w:p w:rsidR="00012883" w:rsidRPr="00C90272" w:rsidRDefault="00012883" w:rsidP="00F126AA">
            <w:pPr>
              <w:jc w:val="center"/>
              <w:rPr>
                <w:rFonts w:ascii="Bookman Old Style" w:hAnsi="Bookman Old Style"/>
                <w:noProof/>
                <w:sz w:val="16"/>
                <w:szCs w:val="16"/>
                <w:lang w:val="id-ID" w:eastAsia="id-ID"/>
              </w:rPr>
            </w:pPr>
          </w:p>
        </w:tc>
        <w:tc>
          <w:tcPr>
            <w:tcW w:w="1114" w:type="dxa"/>
            <w:tcBorders>
              <w:top w:val="nil"/>
              <w:left w:val="nil"/>
              <w:bottom w:val="nil"/>
              <w:right w:val="nil"/>
            </w:tcBorders>
          </w:tcPr>
          <w:p w:rsidR="00012883" w:rsidRPr="00C90272" w:rsidRDefault="00012883" w:rsidP="00F126AA">
            <w:pPr>
              <w:jc w:val="center"/>
              <w:rPr>
                <w:rFonts w:ascii="Bookman Old Style" w:hAnsi="Bookman Old Style"/>
                <w:noProof/>
                <w:sz w:val="16"/>
                <w:szCs w:val="16"/>
                <w:lang w:val="id-ID" w:eastAsia="id-ID"/>
              </w:rPr>
            </w:pPr>
          </w:p>
        </w:tc>
        <w:tc>
          <w:tcPr>
            <w:tcW w:w="1151" w:type="dxa"/>
            <w:tcBorders>
              <w:top w:val="nil"/>
              <w:left w:val="nil"/>
              <w:bottom w:val="nil"/>
              <w:right w:val="nil"/>
            </w:tcBorders>
            <w:shd w:val="clear" w:color="auto" w:fill="auto"/>
            <w:noWrap/>
            <w:vAlign w:val="bottom"/>
            <w:hideMark/>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ISB</w:t>
            </w:r>
          </w:p>
        </w:tc>
        <w:tc>
          <w:tcPr>
            <w:tcW w:w="113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1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0.4463**</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0.3936**</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-0.2287</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-0.2397</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p>
        </w:tc>
        <w:tc>
          <w:tcPr>
            <w:tcW w:w="113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1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(0.1879)</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(0.1707)</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(0.2581)</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(0.2306)</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N.SB</w:t>
            </w:r>
          </w:p>
        </w:tc>
        <w:tc>
          <w:tcPr>
            <w:tcW w:w="113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1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-0.0406</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-0.0252</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-0.3585**</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-0.3255**</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p>
        </w:tc>
        <w:tc>
          <w:tcPr>
            <w:tcW w:w="113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1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(0.0438)</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(0.0445)</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(0.1508)</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(0.1404)</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ISB*N.SB</w:t>
            </w:r>
          </w:p>
        </w:tc>
        <w:tc>
          <w:tcPr>
            <w:tcW w:w="113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1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0.1450**</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0.1365**</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p>
        </w:tc>
        <w:tc>
          <w:tcPr>
            <w:tcW w:w="113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1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(0.0676)</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(0.0612)</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Leverage</w:t>
            </w: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0.0130***</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0.0132***</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0.0128***</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0.0130***</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0.0129***</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0.0131***</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(0.0008)</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(0.0008)</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(0.0008)</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(0.0008)</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(0.0008)</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(0.0008)</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Profit</w:t>
            </w: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-1.3961***</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-1.4759***</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-1.3541***</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-1.4347***</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-1.3677***</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-1.4396***</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(0.4494)</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(0.4102)</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(0.4483)</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(0.4099)</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(0.4336)</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(0.4002)</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Age</w:t>
            </w: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-0.0164**</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-0.0183***</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-0.0194***</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-0.0211***</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-0.0184***</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-0.0202***</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(0.0066)</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(0.0061)</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(0.0062)</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(0.0058)</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(0.0062)</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(0.0058)</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Size</w:t>
            </w: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-0.1089**</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-0.0716</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-0.1800***</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-0.1413**</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-0.1412**</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-0.1056*</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(0.0494)</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(0.0476)</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(0.0679)</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(0.0649)</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(0.0606)</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(0.0588)</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Constant</w:t>
            </w: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4.7214***</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3.8865***</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6.2724***</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5.4125***</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6.4254***</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5.5905***</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p>
        </w:tc>
        <w:tc>
          <w:tcPr>
            <w:tcW w:w="113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(1.4804)</w:t>
            </w:r>
          </w:p>
        </w:tc>
        <w:tc>
          <w:tcPr>
            <w:tcW w:w="1114" w:type="dxa"/>
            <w:tcBorders>
              <w:top w:val="nil"/>
              <w:left w:val="nil"/>
              <w:bottom w:val="nil"/>
              <w:right w:val="nil"/>
            </w:tcBorders>
            <w:vAlign w:val="bottom"/>
          </w:tcPr>
          <w:p w:rsidR="00012883" w:rsidRPr="00C90272" w:rsidRDefault="00012883"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(1.4551)</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(1.8236)</w:t>
            </w: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(1.7658)</w:t>
            </w: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(1.8239)</w:t>
            </w: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(1.7720)</w:t>
            </w:r>
          </w:p>
        </w:tc>
      </w:tr>
      <w:tr w:rsidR="00012883" w:rsidRPr="00C90272" w:rsidTr="00012883">
        <w:trPr>
          <w:trHeight w:val="20"/>
        </w:trPr>
        <w:tc>
          <w:tcPr>
            <w:tcW w:w="1435" w:type="dxa"/>
            <w:tcBorders>
              <w:top w:val="nil"/>
              <w:left w:val="nil"/>
              <w:bottom w:val="nil"/>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p>
        </w:tc>
        <w:tc>
          <w:tcPr>
            <w:tcW w:w="113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14" w:type="dxa"/>
            <w:tcBorders>
              <w:top w:val="nil"/>
              <w:left w:val="nil"/>
              <w:bottom w:val="nil"/>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076"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993"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p>
        </w:tc>
        <w:tc>
          <w:tcPr>
            <w:tcW w:w="1151" w:type="dxa"/>
            <w:tcBorders>
              <w:top w:val="nil"/>
              <w:left w:val="nil"/>
              <w:bottom w:val="nil"/>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p>
        </w:tc>
      </w:tr>
      <w:tr w:rsidR="00012883" w:rsidRPr="00C90272" w:rsidTr="00012883">
        <w:trPr>
          <w:trHeight w:val="20"/>
        </w:trPr>
        <w:tc>
          <w:tcPr>
            <w:tcW w:w="1435" w:type="dxa"/>
            <w:tcBorders>
              <w:top w:val="nil"/>
              <w:left w:val="nil"/>
              <w:bottom w:val="single" w:sz="4" w:space="0" w:color="auto"/>
              <w:right w:val="nil"/>
            </w:tcBorders>
            <w:shd w:val="clear" w:color="auto" w:fill="auto"/>
            <w:noWrap/>
            <w:vAlign w:val="bottom"/>
            <w:hideMark/>
          </w:tcPr>
          <w:p w:rsidR="00012883"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Industry Effect</w:t>
            </w:r>
          </w:p>
        </w:tc>
        <w:tc>
          <w:tcPr>
            <w:tcW w:w="1134" w:type="dxa"/>
            <w:tcBorders>
              <w:top w:val="nil"/>
              <w:left w:val="nil"/>
              <w:bottom w:val="single" w:sz="4" w:space="0" w:color="auto"/>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No</w:t>
            </w:r>
          </w:p>
        </w:tc>
        <w:tc>
          <w:tcPr>
            <w:tcW w:w="1114" w:type="dxa"/>
            <w:tcBorders>
              <w:top w:val="nil"/>
              <w:left w:val="nil"/>
              <w:bottom w:val="single" w:sz="4" w:space="0" w:color="auto"/>
              <w:right w:val="nil"/>
            </w:tcBorders>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Yes</w:t>
            </w:r>
          </w:p>
        </w:tc>
        <w:tc>
          <w:tcPr>
            <w:tcW w:w="1151" w:type="dxa"/>
            <w:tcBorders>
              <w:top w:val="nil"/>
              <w:left w:val="nil"/>
              <w:bottom w:val="single" w:sz="4" w:space="0" w:color="auto"/>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No</w:t>
            </w:r>
          </w:p>
        </w:tc>
        <w:tc>
          <w:tcPr>
            <w:tcW w:w="1076" w:type="dxa"/>
            <w:tcBorders>
              <w:top w:val="nil"/>
              <w:left w:val="nil"/>
              <w:bottom w:val="single" w:sz="4" w:space="0" w:color="auto"/>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Yes</w:t>
            </w:r>
          </w:p>
        </w:tc>
        <w:tc>
          <w:tcPr>
            <w:tcW w:w="993" w:type="dxa"/>
            <w:tcBorders>
              <w:top w:val="nil"/>
              <w:left w:val="nil"/>
              <w:bottom w:val="single" w:sz="4" w:space="0" w:color="auto"/>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No</w:t>
            </w:r>
          </w:p>
        </w:tc>
        <w:tc>
          <w:tcPr>
            <w:tcW w:w="1151" w:type="dxa"/>
            <w:tcBorders>
              <w:top w:val="nil"/>
              <w:left w:val="nil"/>
              <w:bottom w:val="single" w:sz="4" w:space="0" w:color="auto"/>
              <w:right w:val="nil"/>
            </w:tcBorders>
            <w:shd w:val="clear" w:color="auto" w:fill="auto"/>
            <w:noWrap/>
            <w:vAlign w:val="bottom"/>
            <w:hideMark/>
          </w:tcPr>
          <w:p w:rsidR="00012883" w:rsidRPr="00C90272" w:rsidRDefault="00012883" w:rsidP="00F126AA">
            <w:pPr>
              <w:ind w:left="-144" w:right="-144"/>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Yes</w:t>
            </w:r>
          </w:p>
        </w:tc>
      </w:tr>
    </w:tbl>
    <w:p w:rsidR="00193E6A" w:rsidRPr="00C90272" w:rsidRDefault="00193E6A" w:rsidP="00193E6A">
      <w:pPr>
        <w:jc w:val="both"/>
        <w:rPr>
          <w:rFonts w:ascii="Bookman Old Style" w:hAnsi="Bookman Old Style"/>
          <w:noProof/>
          <w:lang w:val="id-ID"/>
        </w:rPr>
      </w:pPr>
    </w:p>
    <w:p w:rsidR="00193E6A" w:rsidRPr="00C90272" w:rsidRDefault="00193E6A" w:rsidP="00012883">
      <w:pPr>
        <w:jc w:val="both"/>
        <w:rPr>
          <w:rFonts w:ascii="Bookman Old Style" w:hAnsi="Bookman Old Style"/>
          <w:noProof/>
          <w:lang w:val="id-ID"/>
        </w:rPr>
      </w:pPr>
      <w:r w:rsidRPr="00C90272">
        <w:rPr>
          <w:rFonts w:ascii="Bookman Old Style" w:hAnsi="Bookman Old Style"/>
          <w:noProof/>
          <w:lang w:val="id-ID"/>
        </w:rPr>
        <w:t xml:space="preserve">The full model test in this study can be seen in </w:t>
      </w:r>
      <w:r w:rsidRPr="00C90272">
        <w:rPr>
          <w:rFonts w:ascii="Bookman Old Style" w:hAnsi="Bookman Old Style"/>
          <w:noProof/>
        </w:rPr>
        <w:t>Columns</w:t>
      </w:r>
      <w:r w:rsidRPr="00C90272">
        <w:rPr>
          <w:rFonts w:ascii="Bookman Old Style" w:hAnsi="Bookman Old Style"/>
          <w:noProof/>
          <w:lang w:val="id-ID"/>
        </w:rPr>
        <w:t xml:space="preserve"> 3 to 6. The test results in </w:t>
      </w:r>
      <w:r w:rsidRPr="00C90272">
        <w:rPr>
          <w:rFonts w:ascii="Bookman Old Style" w:hAnsi="Bookman Old Style"/>
          <w:noProof/>
        </w:rPr>
        <w:t>Column</w:t>
      </w:r>
      <w:r w:rsidRPr="00C90272">
        <w:rPr>
          <w:rFonts w:ascii="Bookman Old Style" w:hAnsi="Bookman Old Style"/>
          <w:noProof/>
          <w:lang w:val="id-ID"/>
        </w:rPr>
        <w:t xml:space="preserve"> 3 show a positive relationship between the independent </w:t>
      </w:r>
      <w:r w:rsidRPr="00C90272">
        <w:rPr>
          <w:rFonts w:ascii="Bookman Old Style" w:hAnsi="Bookman Old Style"/>
          <w:noProof/>
        </w:rPr>
        <w:t>supervisory board</w:t>
      </w:r>
      <w:r w:rsidRPr="00C90272">
        <w:rPr>
          <w:rFonts w:ascii="Bookman Old Style" w:hAnsi="Bookman Old Style"/>
          <w:noProof/>
          <w:lang w:val="id-ID"/>
        </w:rPr>
        <w:t xml:space="preserve"> and firm value</w:t>
      </w:r>
      <w:r w:rsidRPr="00C90272">
        <w:rPr>
          <w:rFonts w:ascii="Bookman Old Style" w:hAnsi="Bookman Old Style"/>
          <w:noProof/>
        </w:rPr>
        <w:t xml:space="preserve"> (β = </w:t>
      </w:r>
      <w:r w:rsidRPr="00C90272">
        <w:rPr>
          <w:rFonts w:ascii="Bookman Old Style" w:hAnsi="Bookman Old Style"/>
          <w:noProof/>
          <w:lang w:val="id-ID" w:eastAsia="id-ID"/>
        </w:rPr>
        <w:t>0.4463</w:t>
      </w:r>
      <w:r w:rsidRPr="00C90272">
        <w:rPr>
          <w:rFonts w:ascii="Bookman Old Style" w:hAnsi="Bookman Old Style"/>
          <w:noProof/>
          <w:lang w:eastAsia="id-ID"/>
        </w:rPr>
        <w:t>)</w:t>
      </w:r>
      <w:r w:rsidRPr="00C90272">
        <w:rPr>
          <w:rFonts w:ascii="Bookman Old Style" w:hAnsi="Bookman Old Style"/>
          <w:noProof/>
          <w:lang w:val="id-ID"/>
        </w:rPr>
        <w:t>, which is significant at the 0.05 level. These results remain consistent after considering the industry effect in the test in Column 4</w:t>
      </w:r>
      <w:r w:rsidRPr="00C90272">
        <w:rPr>
          <w:rFonts w:ascii="Bookman Old Style" w:hAnsi="Bookman Old Style"/>
          <w:noProof/>
        </w:rPr>
        <w:t xml:space="preserve"> (β = 0.3936)</w:t>
      </w:r>
      <w:r w:rsidRPr="00C90272">
        <w:rPr>
          <w:rFonts w:ascii="Bookman Old Style" w:hAnsi="Bookman Old Style"/>
          <w:noProof/>
          <w:lang w:val="id-ID"/>
        </w:rPr>
        <w:t xml:space="preserve">. </w:t>
      </w:r>
      <w:r w:rsidRPr="00C90272">
        <w:rPr>
          <w:rFonts w:ascii="Bookman Old Style" w:hAnsi="Bookman Old Style"/>
          <w:noProof/>
        </w:rPr>
        <w:t>This test indicates that investors still trust the presence of an independent supervisory board in the firm as a form of implementing good corporate governance.</w:t>
      </w:r>
      <w:r w:rsidRPr="00C90272">
        <w:rPr>
          <w:rFonts w:ascii="Bookman Old Style" w:hAnsi="Bookman Old Style"/>
          <w:noProof/>
          <w:lang w:val="id-ID"/>
        </w:rPr>
        <w:t xml:space="preserve"> </w:t>
      </w:r>
      <w:r w:rsidRPr="00C90272">
        <w:rPr>
          <w:rFonts w:ascii="Bookman Old Style" w:hAnsi="Bookman Old Style"/>
          <w:noProof/>
        </w:rPr>
        <w:t>The overall results of this investigation support the empirical evidence presented by previous research, which shows the importance of board independence in companies</w:t>
      </w:r>
      <w:r w:rsidRPr="00C90272">
        <w:rPr>
          <w:rFonts w:ascii="Bookman Old Style" w:hAnsi="Bookman Old Style"/>
          <w:noProof/>
          <w:lang w:val="id-ID"/>
        </w:rPr>
        <w:t xml:space="preserve"> </w:t>
      </w:r>
      <w:hyperlink w:anchor="References" w:history="1">
        <w:r w:rsidR="00012883" w:rsidRPr="00C90272">
          <w:rPr>
            <w:rStyle w:val="Hyperlink"/>
            <w:rFonts w:ascii="Bookman Old Style" w:hAnsi="Bookman Old Style"/>
            <w:u w:val="none"/>
          </w:rPr>
          <w:t>(Anderson et al., 2004;  Gafoor et al., 2018; Zhu et al., 2016; Chen et al.,  2016; Tjahjadi et al., 2021)</w:t>
        </w:r>
      </w:hyperlink>
      <w:r w:rsidRPr="00C90272">
        <w:rPr>
          <w:rFonts w:ascii="Bookman Old Style" w:hAnsi="Bookman Old Style"/>
          <w:noProof/>
        </w:rPr>
        <w:t>.</w:t>
      </w:r>
      <w:r w:rsidRPr="00C90272">
        <w:rPr>
          <w:rFonts w:ascii="Bookman Old Style" w:hAnsi="Bookman Old Style"/>
          <w:noProof/>
          <w:lang w:val="id-ID"/>
        </w:rPr>
        <w:t xml:space="preserve"> To determine whether the size of the </w:t>
      </w:r>
      <w:r w:rsidRPr="00C90272">
        <w:rPr>
          <w:rFonts w:ascii="Bookman Old Style" w:hAnsi="Bookman Old Style"/>
          <w:noProof/>
        </w:rPr>
        <w:t>supervisory board</w:t>
      </w:r>
      <w:r w:rsidRPr="00C90272">
        <w:rPr>
          <w:rFonts w:ascii="Bookman Old Style" w:hAnsi="Bookman Old Style"/>
          <w:noProof/>
          <w:lang w:val="id-ID"/>
        </w:rPr>
        <w:t xml:space="preserve"> strengthens the relationship between the independent</w:t>
      </w:r>
      <w:r w:rsidRPr="00C90272">
        <w:rPr>
          <w:rFonts w:ascii="Bookman Old Style" w:hAnsi="Bookman Old Style"/>
          <w:noProof/>
        </w:rPr>
        <w:t xml:space="preserve"> supervisory board</w:t>
      </w:r>
      <w:r w:rsidRPr="00C90272">
        <w:rPr>
          <w:rFonts w:ascii="Bookman Old Style" w:hAnsi="Bookman Old Style"/>
          <w:noProof/>
          <w:lang w:val="id-ID"/>
        </w:rPr>
        <w:t xml:space="preserve"> and firm value, a test is carried out on </w:t>
      </w:r>
      <w:r w:rsidRPr="00C90272">
        <w:rPr>
          <w:rFonts w:ascii="Bookman Old Style" w:hAnsi="Bookman Old Style"/>
          <w:noProof/>
        </w:rPr>
        <w:t>Columns</w:t>
      </w:r>
      <w:r w:rsidRPr="00C90272">
        <w:rPr>
          <w:rFonts w:ascii="Bookman Old Style" w:hAnsi="Bookman Old Style"/>
          <w:noProof/>
          <w:lang w:val="id-ID"/>
        </w:rPr>
        <w:t xml:space="preserve"> 5 and 6. The test results on the interaction variables show values </w:t>
      </w:r>
      <w:r w:rsidRPr="00C90272">
        <w:rPr>
          <w:noProof/>
          <w:lang w:val="id-ID"/>
        </w:rPr>
        <w:t>​​</w:t>
      </w:r>
      <w:r w:rsidRPr="00C90272">
        <w:rPr>
          <w:rFonts w:ascii="Bookman Old Style" w:hAnsi="Bookman Old Style"/>
          <w:noProof/>
          <w:lang w:val="id-ID"/>
        </w:rPr>
        <w:t xml:space="preserve">of 0.1450 and 0.1365, which are also significant at the level of 0.05, which means that the presence of an independent </w:t>
      </w:r>
      <w:r w:rsidRPr="00C90272">
        <w:rPr>
          <w:rFonts w:ascii="Bookman Old Style" w:hAnsi="Bookman Old Style"/>
          <w:noProof/>
        </w:rPr>
        <w:t>supervisory board</w:t>
      </w:r>
      <w:r w:rsidRPr="00C90272">
        <w:rPr>
          <w:rFonts w:ascii="Bookman Old Style" w:hAnsi="Bookman Old Style"/>
          <w:noProof/>
          <w:lang w:val="id-ID"/>
        </w:rPr>
        <w:t xml:space="preserve"> in the firm is responded positively </w:t>
      </w:r>
      <w:r w:rsidRPr="00C90272">
        <w:rPr>
          <w:rFonts w:ascii="Bookman Old Style" w:hAnsi="Bookman Old Style"/>
          <w:noProof/>
          <w:lang w:val="id-ID"/>
        </w:rPr>
        <w:lastRenderedPageBreak/>
        <w:t xml:space="preserve">by the public. This effect is getting stronger with the more excellent supervision by the </w:t>
      </w:r>
      <w:r w:rsidRPr="00C90272">
        <w:rPr>
          <w:rFonts w:ascii="Bookman Old Style" w:hAnsi="Bookman Old Style"/>
          <w:noProof/>
        </w:rPr>
        <w:t>supervisory board</w:t>
      </w:r>
      <w:r w:rsidRPr="00C90272">
        <w:rPr>
          <w:rFonts w:ascii="Bookman Old Style" w:hAnsi="Bookman Old Style"/>
          <w:noProof/>
          <w:lang w:val="id-ID"/>
        </w:rPr>
        <w:t xml:space="preserve"> in the firm.</w:t>
      </w:r>
    </w:p>
    <w:p w:rsidR="00193E6A" w:rsidRPr="00C90272" w:rsidRDefault="00193E6A" w:rsidP="00193E6A">
      <w:pPr>
        <w:jc w:val="both"/>
        <w:rPr>
          <w:rFonts w:ascii="Bookman Old Style" w:hAnsi="Bookman Old Style"/>
          <w:noProof/>
          <w:lang w:val="id-ID"/>
        </w:rPr>
      </w:pPr>
    </w:p>
    <w:p w:rsidR="00193E6A" w:rsidRPr="00C90272" w:rsidRDefault="00193E6A" w:rsidP="00193E6A">
      <w:pPr>
        <w:jc w:val="both"/>
        <w:rPr>
          <w:rFonts w:ascii="Bookman Old Style" w:hAnsi="Bookman Old Style"/>
          <w:b/>
          <w:noProof/>
        </w:rPr>
      </w:pPr>
      <w:r w:rsidRPr="00C90272">
        <w:rPr>
          <w:rFonts w:ascii="Bookman Old Style" w:hAnsi="Bookman Old Style"/>
          <w:b/>
          <w:noProof/>
        </w:rPr>
        <w:t xml:space="preserve">Further </w:t>
      </w:r>
      <w:r w:rsidR="00012883" w:rsidRPr="00C90272">
        <w:rPr>
          <w:rFonts w:ascii="Bookman Old Style" w:hAnsi="Bookman Old Style"/>
          <w:b/>
          <w:noProof/>
        </w:rPr>
        <w:t>e</w:t>
      </w:r>
      <w:r w:rsidRPr="00C90272">
        <w:rPr>
          <w:rFonts w:ascii="Bookman Old Style" w:hAnsi="Bookman Old Style"/>
          <w:b/>
          <w:noProof/>
        </w:rPr>
        <w:t>xamination</w:t>
      </w:r>
    </w:p>
    <w:p w:rsidR="00012883" w:rsidRPr="00C90272" w:rsidRDefault="00012883" w:rsidP="00193E6A">
      <w:pPr>
        <w:jc w:val="both"/>
        <w:rPr>
          <w:rFonts w:ascii="Bookman Old Style" w:hAnsi="Bookman Old Style"/>
          <w:noProof/>
          <w:lang w:val="id-ID"/>
        </w:rPr>
      </w:pPr>
    </w:p>
    <w:p w:rsidR="00193E6A" w:rsidRPr="00C90272" w:rsidRDefault="00193E6A" w:rsidP="00193E6A">
      <w:pPr>
        <w:jc w:val="both"/>
        <w:rPr>
          <w:rFonts w:ascii="Bookman Old Style" w:hAnsi="Bookman Old Style"/>
          <w:noProof/>
          <w:lang w:val="id-ID"/>
        </w:rPr>
      </w:pPr>
      <w:r w:rsidRPr="00C90272">
        <w:rPr>
          <w:rFonts w:ascii="Bookman Old Style" w:hAnsi="Bookman Old Style"/>
          <w:noProof/>
          <w:lang w:val="id-ID"/>
        </w:rPr>
        <w:t xml:space="preserve">To ensure the consistency of the test results, retesting is carried out with different proxies. Table 4 summarizes the results of the firm value test with the MTB proxy. The test results in </w:t>
      </w:r>
      <w:r w:rsidRPr="00C90272">
        <w:rPr>
          <w:rFonts w:ascii="Bookman Old Style" w:hAnsi="Bookman Old Style"/>
          <w:noProof/>
        </w:rPr>
        <w:t>Columns</w:t>
      </w:r>
      <w:r w:rsidRPr="00C90272">
        <w:rPr>
          <w:rFonts w:ascii="Bookman Old Style" w:hAnsi="Bookman Old Style"/>
          <w:noProof/>
          <w:lang w:val="id-ID"/>
        </w:rPr>
        <w:t xml:space="preserve"> 1 to 2 are consistent with the results presented in Table 3, that an independent </w:t>
      </w:r>
      <w:r w:rsidRPr="00C90272">
        <w:rPr>
          <w:rFonts w:ascii="Bookman Old Style" w:hAnsi="Bookman Old Style"/>
          <w:noProof/>
        </w:rPr>
        <w:t>supervisory board</w:t>
      </w:r>
      <w:r w:rsidRPr="00C90272">
        <w:rPr>
          <w:rFonts w:ascii="Bookman Old Style" w:hAnsi="Bookman Old Style"/>
          <w:noProof/>
          <w:lang w:val="id-ID"/>
        </w:rPr>
        <w:t xml:space="preserve"> can encourage an increase in </w:t>
      </w:r>
      <w:r w:rsidRPr="00C90272">
        <w:rPr>
          <w:rFonts w:ascii="Bookman Old Style" w:hAnsi="Bookman Old Style"/>
          <w:noProof/>
        </w:rPr>
        <w:t>firm</w:t>
      </w:r>
      <w:r w:rsidRPr="00C90272">
        <w:rPr>
          <w:rFonts w:ascii="Bookman Old Style" w:hAnsi="Bookman Old Style"/>
          <w:noProof/>
          <w:lang w:val="id-ID"/>
        </w:rPr>
        <w:t xml:space="preserve"> value</w:t>
      </w:r>
      <w:r w:rsidRPr="00C90272">
        <w:rPr>
          <w:rFonts w:ascii="Bookman Old Style" w:hAnsi="Bookman Old Style"/>
          <w:noProof/>
        </w:rPr>
        <w:t xml:space="preserve"> (β = 0.6450 and 0.5670)</w:t>
      </w:r>
      <w:r w:rsidRPr="00C90272">
        <w:rPr>
          <w:rFonts w:ascii="Bookman Old Style" w:hAnsi="Bookman Old Style"/>
          <w:noProof/>
          <w:lang w:val="id-ID"/>
        </w:rPr>
        <w:t>. The investigation of the interaction of the independent supervisory board and members of the supervisory board is shown in columns 3 and 4. The test of the third column was carried out without considering the industry effect, showing the insignificant interaction between the independent supervisory board and members of the supervisory board. Nevertheless, the results still show an interaction between these two parties in shaping the firm's value after considering the industry effect in the test, which is indicated by the value of β= 0.1741 and is significant at the 0.1 level.</w:t>
      </w:r>
    </w:p>
    <w:p w:rsidR="00012883" w:rsidRPr="00C90272" w:rsidRDefault="00012883" w:rsidP="00012883">
      <w:pPr>
        <w:jc w:val="both"/>
        <w:rPr>
          <w:rFonts w:ascii="Bookman Old Style" w:hAnsi="Bookman Old Style"/>
          <w:noProof/>
          <w:lang w:val="id-ID"/>
        </w:rPr>
      </w:pPr>
    </w:p>
    <w:p w:rsidR="00193E6A" w:rsidRPr="00C90272" w:rsidRDefault="00193E6A" w:rsidP="00012883">
      <w:pPr>
        <w:jc w:val="both"/>
        <w:rPr>
          <w:rFonts w:ascii="Bookman Old Style" w:hAnsi="Bookman Old Style"/>
          <w:noProof/>
          <w:lang w:val="id-ID"/>
        </w:rPr>
      </w:pPr>
      <w:r w:rsidRPr="00C90272">
        <w:rPr>
          <w:rFonts w:ascii="Bookman Old Style" w:hAnsi="Bookman Old Style"/>
          <w:noProof/>
          <w:lang w:val="id-ID"/>
        </w:rPr>
        <w:t>To ensure the effect of this interaction, a retest was carried out by considering the proportion of the independent supervisory board to the total number of supervisory board members. The test results are shown in Columns 5 and 6 show the interaction between these two parties, showing the direction coefficient values of 1.6282 and 1.3926, which are significant at the levels of 0.05 and 0.1, respectively. The overall results of this test show consistency with the tests presented in Table 3 that the independent supervisory board has a role in shaping investor perceptions, and members of the supervisory board strengthen their role.</w:t>
      </w:r>
    </w:p>
    <w:p w:rsidR="00193E6A" w:rsidRPr="00C90272" w:rsidRDefault="00193E6A" w:rsidP="00193E6A">
      <w:pPr>
        <w:jc w:val="both"/>
        <w:rPr>
          <w:rFonts w:ascii="Bookman Old Style" w:hAnsi="Bookman Old Style"/>
          <w:noProof/>
          <w:lang w:val="id-ID"/>
        </w:rPr>
      </w:pPr>
    </w:p>
    <w:p w:rsidR="00012883" w:rsidRPr="00C90272" w:rsidRDefault="00193E6A" w:rsidP="00193E6A">
      <w:pPr>
        <w:jc w:val="center"/>
        <w:rPr>
          <w:rFonts w:ascii="Bookman Old Style" w:hAnsi="Bookman Old Style"/>
          <w:noProof/>
          <w:lang w:val="id-ID"/>
        </w:rPr>
      </w:pPr>
      <w:r w:rsidRPr="00C90272">
        <w:rPr>
          <w:rFonts w:ascii="Bookman Old Style" w:hAnsi="Bookman Old Style"/>
          <w:noProof/>
          <w:lang w:val="id-ID"/>
        </w:rPr>
        <w:t>Table 4</w:t>
      </w:r>
    </w:p>
    <w:p w:rsidR="00193E6A" w:rsidRPr="00C90272" w:rsidRDefault="00193E6A" w:rsidP="00193E6A">
      <w:pPr>
        <w:jc w:val="center"/>
        <w:rPr>
          <w:rFonts w:ascii="Bookman Old Style" w:hAnsi="Bookman Old Style"/>
          <w:noProof/>
          <w:lang w:val="id-ID"/>
        </w:rPr>
      </w:pPr>
      <w:r w:rsidRPr="00C90272">
        <w:rPr>
          <w:rFonts w:ascii="Bookman Old Style" w:hAnsi="Bookman Old Style"/>
          <w:noProof/>
          <w:lang w:val="id-ID"/>
        </w:rPr>
        <w:t>Retest for full model</w:t>
      </w:r>
    </w:p>
    <w:p w:rsidR="00012883" w:rsidRPr="00C90272" w:rsidRDefault="00012883" w:rsidP="00193E6A">
      <w:pPr>
        <w:jc w:val="center"/>
        <w:rPr>
          <w:rFonts w:ascii="Bookman Old Style" w:hAnsi="Bookman Old Style"/>
          <w:noProof/>
          <w:lang w:val="id-ID"/>
        </w:rPr>
      </w:pPr>
    </w:p>
    <w:tbl>
      <w:tblPr>
        <w:tblW w:w="8122" w:type="dxa"/>
        <w:tblInd w:w="91" w:type="dxa"/>
        <w:tblLook w:val="04A0" w:firstRow="1" w:lastRow="0" w:firstColumn="1" w:lastColumn="0" w:noHBand="0" w:noVBand="1"/>
      </w:tblPr>
      <w:tblGrid>
        <w:gridCol w:w="1727"/>
        <w:gridCol w:w="984"/>
        <w:gridCol w:w="1134"/>
        <w:gridCol w:w="992"/>
        <w:gridCol w:w="1134"/>
        <w:gridCol w:w="992"/>
        <w:gridCol w:w="992"/>
        <w:gridCol w:w="167"/>
      </w:tblGrid>
      <w:tr w:rsidR="00193E6A" w:rsidRPr="00C90272" w:rsidTr="00012883">
        <w:trPr>
          <w:gridAfter w:val="1"/>
          <w:wAfter w:w="167" w:type="dxa"/>
          <w:trHeight w:val="20"/>
        </w:trPr>
        <w:tc>
          <w:tcPr>
            <w:tcW w:w="1727"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012883"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Variables</w:t>
            </w:r>
          </w:p>
        </w:tc>
        <w:tc>
          <w:tcPr>
            <w:tcW w:w="984"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w:t>
            </w:r>
          </w:p>
        </w:tc>
        <w:tc>
          <w:tcPr>
            <w:tcW w:w="1134"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[2]</w:t>
            </w:r>
          </w:p>
        </w:tc>
        <w:tc>
          <w:tcPr>
            <w:tcW w:w="992"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[3]</w:t>
            </w:r>
          </w:p>
        </w:tc>
        <w:tc>
          <w:tcPr>
            <w:tcW w:w="1134"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[4]</w:t>
            </w:r>
          </w:p>
        </w:tc>
        <w:tc>
          <w:tcPr>
            <w:tcW w:w="992"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[5]</w:t>
            </w:r>
          </w:p>
        </w:tc>
        <w:tc>
          <w:tcPr>
            <w:tcW w:w="992" w:type="dxa"/>
            <w:tcBorders>
              <w:top w:val="single" w:sz="4" w:space="0" w:color="auto"/>
              <w:left w:val="nil"/>
              <w:bottom w:val="single" w:sz="4" w:space="0" w:color="auto"/>
              <w:right w:val="nil"/>
            </w:tcBorders>
            <w:shd w:val="clear" w:color="auto" w:fill="F2F2F2" w:themeFill="background1" w:themeFillShade="F2"/>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[6]</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 </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ICOM</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0.6450**</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0.5670*</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-0.2112</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-0.2419</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(0.3213)</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(0.2973)</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(0.4471)</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(0.4053)</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N.COM</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-0.0153</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0.0039</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-0.4177*</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-0.3793</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-0.3708</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-0.2942</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(0.0699)</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(0.0702)</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(0.2502)</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(0.2301)</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(0.2310)</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(0.2207)</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ICOM*N.COM</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0.1836</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0.1741*</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(0.1119)</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(0.1008)</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P.ICOM</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-4.5027</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-3.7725</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(3.2211)</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(3.1371)</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eastAsia="id-ID"/>
              </w:rPr>
            </w:pPr>
            <w:r w:rsidRPr="00C90272">
              <w:rPr>
                <w:rFonts w:ascii="Bookman Old Style" w:hAnsi="Bookman Old Style"/>
                <w:noProof/>
                <w:sz w:val="16"/>
                <w:szCs w:val="16"/>
                <w:lang w:val="id-ID" w:eastAsia="id-ID"/>
              </w:rPr>
              <w:t>P.ICOM*</w:t>
            </w:r>
            <w:r w:rsidRPr="00C90272">
              <w:rPr>
                <w:rFonts w:ascii="Bookman Old Style" w:hAnsi="Bookman Old Style"/>
                <w:noProof/>
                <w:sz w:val="16"/>
                <w:szCs w:val="16"/>
                <w:lang w:eastAsia="id-ID"/>
              </w:rPr>
              <w:t>N.COM</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1.6282**</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1.3926*</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(0.8203)</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(0.7635)</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Leverage</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-0.0030***</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-0.0029***</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-0.0028***</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-0.0028***</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-0.0032***</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-0.0031***</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(0.0006)</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(0.0007)</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(0.0006)</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(0.0007)</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(0.0007)</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(0.0008)</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Profit</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0.1401</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0.0462</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0.1224</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0.0392</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0.0728</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-0.0092</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(0.7537)</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(0.7599)</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(0.7506)</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(0.7595)</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(0.7532)</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(0.7619)</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Age</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-0.0295***</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-0.0304***</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-0.0283**</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-0.0292***</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-0.0307***</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-0.0312***</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(0.0110)</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(0.0108)</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(0.0111)</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(0.0108)</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(0.0110)</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(0.0107)</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Size</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-0.2448***</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-0.2080**</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-0.1954**</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-0.1620**</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-0.2640***</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-0.2243**</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(0.0901)</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(0.0895)</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(0.0797)</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(0.0822)</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(0.0949)</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(0.0946)</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Constant</w:t>
            </w: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7.9978***</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7.1245***</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8.1837***</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7.3398***</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10.2566***</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9.0189***</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(2.3597)</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(2.3675)</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(2.3849)</w:t>
            </w:r>
          </w:p>
        </w:tc>
        <w:tc>
          <w:tcPr>
            <w:tcW w:w="1134"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(2.3989)</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(3.2376)</w:t>
            </w:r>
          </w:p>
        </w:tc>
        <w:tc>
          <w:tcPr>
            <w:tcW w:w="992" w:type="dxa"/>
            <w:tcBorders>
              <w:top w:val="nil"/>
              <w:left w:val="nil"/>
              <w:bottom w:val="nil"/>
              <w:right w:val="nil"/>
            </w:tcBorders>
            <w:shd w:val="clear" w:color="auto" w:fill="auto"/>
            <w:noWrap/>
            <w:vAlign w:val="bottom"/>
            <w:hideMark/>
          </w:tcPr>
          <w:p w:rsidR="00193E6A" w:rsidRPr="00C90272" w:rsidRDefault="00193E6A" w:rsidP="00F126AA">
            <w:pPr>
              <w:ind w:left="-72" w:right="-72"/>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(3.1871)</w:t>
            </w:r>
          </w:p>
        </w:tc>
      </w:tr>
      <w:tr w:rsidR="00193E6A" w:rsidRPr="00C90272" w:rsidTr="00012883">
        <w:trPr>
          <w:gridAfter w:val="1"/>
          <w:wAfter w:w="167" w:type="dxa"/>
          <w:trHeight w:val="20"/>
        </w:trPr>
        <w:tc>
          <w:tcPr>
            <w:tcW w:w="1727" w:type="dxa"/>
            <w:tcBorders>
              <w:top w:val="nil"/>
              <w:left w:val="nil"/>
              <w:bottom w:val="nil"/>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p>
        </w:tc>
        <w:tc>
          <w:tcPr>
            <w:tcW w:w="984"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p>
        </w:tc>
        <w:tc>
          <w:tcPr>
            <w:tcW w:w="1134"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p>
        </w:tc>
        <w:tc>
          <w:tcPr>
            <w:tcW w:w="992" w:type="dxa"/>
            <w:tcBorders>
              <w:top w:val="nil"/>
              <w:left w:val="nil"/>
              <w:bottom w:val="nil"/>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p>
        </w:tc>
      </w:tr>
      <w:tr w:rsidR="00193E6A" w:rsidRPr="00C90272" w:rsidTr="00012883">
        <w:trPr>
          <w:gridAfter w:val="1"/>
          <w:wAfter w:w="167" w:type="dxa"/>
          <w:trHeight w:val="20"/>
        </w:trPr>
        <w:tc>
          <w:tcPr>
            <w:tcW w:w="1727" w:type="dxa"/>
            <w:tcBorders>
              <w:top w:val="nil"/>
              <w:left w:val="nil"/>
              <w:bottom w:val="single" w:sz="4" w:space="0" w:color="auto"/>
              <w:right w:val="nil"/>
            </w:tcBorders>
            <w:shd w:val="clear" w:color="auto" w:fill="auto"/>
            <w:noWrap/>
            <w:vAlign w:val="bottom"/>
            <w:hideMark/>
          </w:tcPr>
          <w:p w:rsidR="00193E6A" w:rsidRPr="00C90272" w:rsidRDefault="00193E6A" w:rsidP="00F126AA">
            <w:pP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Industry Effect</w:t>
            </w:r>
          </w:p>
        </w:tc>
        <w:tc>
          <w:tcPr>
            <w:tcW w:w="984" w:type="dxa"/>
            <w:tcBorders>
              <w:top w:val="nil"/>
              <w:left w:val="nil"/>
              <w:bottom w:val="single" w:sz="4" w:space="0" w:color="auto"/>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No</w:t>
            </w:r>
          </w:p>
        </w:tc>
        <w:tc>
          <w:tcPr>
            <w:tcW w:w="1134" w:type="dxa"/>
            <w:tcBorders>
              <w:top w:val="nil"/>
              <w:left w:val="nil"/>
              <w:bottom w:val="single" w:sz="4" w:space="0" w:color="auto"/>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Yes</w:t>
            </w:r>
          </w:p>
        </w:tc>
        <w:tc>
          <w:tcPr>
            <w:tcW w:w="992" w:type="dxa"/>
            <w:tcBorders>
              <w:top w:val="nil"/>
              <w:left w:val="nil"/>
              <w:bottom w:val="single" w:sz="4" w:space="0" w:color="auto"/>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No</w:t>
            </w:r>
          </w:p>
        </w:tc>
        <w:tc>
          <w:tcPr>
            <w:tcW w:w="1134" w:type="dxa"/>
            <w:tcBorders>
              <w:top w:val="nil"/>
              <w:left w:val="nil"/>
              <w:bottom w:val="single" w:sz="4" w:space="0" w:color="auto"/>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Yes</w:t>
            </w:r>
          </w:p>
        </w:tc>
        <w:tc>
          <w:tcPr>
            <w:tcW w:w="992" w:type="dxa"/>
            <w:tcBorders>
              <w:top w:val="nil"/>
              <w:left w:val="nil"/>
              <w:bottom w:val="single" w:sz="4" w:space="0" w:color="auto"/>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No</w:t>
            </w:r>
          </w:p>
        </w:tc>
        <w:tc>
          <w:tcPr>
            <w:tcW w:w="992" w:type="dxa"/>
            <w:tcBorders>
              <w:top w:val="nil"/>
              <w:left w:val="nil"/>
              <w:bottom w:val="single" w:sz="4" w:space="0" w:color="auto"/>
              <w:right w:val="nil"/>
            </w:tcBorders>
            <w:shd w:val="clear" w:color="auto" w:fill="auto"/>
            <w:noWrap/>
            <w:vAlign w:val="bottom"/>
            <w:hideMark/>
          </w:tcPr>
          <w:p w:rsidR="00193E6A" w:rsidRPr="00C90272" w:rsidRDefault="00193E6A" w:rsidP="00F126AA">
            <w:pPr>
              <w:jc w:val="center"/>
              <w:rPr>
                <w:rFonts w:ascii="Bookman Old Style" w:hAnsi="Bookman Old Style"/>
                <w:noProof/>
                <w:sz w:val="16"/>
                <w:szCs w:val="16"/>
                <w:lang w:val="id-ID" w:eastAsia="id-ID"/>
              </w:rPr>
            </w:pPr>
            <w:r w:rsidRPr="00C90272">
              <w:rPr>
                <w:rFonts w:ascii="Bookman Old Style" w:hAnsi="Bookman Old Style"/>
                <w:noProof/>
                <w:sz w:val="16"/>
                <w:szCs w:val="16"/>
                <w:lang w:val="id-ID" w:eastAsia="id-ID"/>
              </w:rPr>
              <w:t>Yes</w:t>
            </w:r>
          </w:p>
        </w:tc>
      </w:tr>
      <w:tr w:rsidR="00193E6A" w:rsidRPr="00C90272" w:rsidTr="00012883">
        <w:trPr>
          <w:trHeight w:val="144"/>
        </w:trPr>
        <w:tc>
          <w:tcPr>
            <w:tcW w:w="8122" w:type="dxa"/>
            <w:gridSpan w:val="8"/>
            <w:tcBorders>
              <w:top w:val="nil"/>
              <w:left w:val="nil"/>
              <w:bottom w:val="nil"/>
              <w:right w:val="nil"/>
            </w:tcBorders>
            <w:shd w:val="clear" w:color="auto" w:fill="auto"/>
            <w:noWrap/>
            <w:vAlign w:val="bottom"/>
            <w:hideMark/>
          </w:tcPr>
          <w:p w:rsidR="00193E6A" w:rsidRPr="00C90272" w:rsidRDefault="00193E6A" w:rsidP="00F126AA">
            <w:pPr>
              <w:jc w:val="both"/>
              <w:rPr>
                <w:rFonts w:ascii="Bookman Old Style" w:hAnsi="Bookman Old Style"/>
                <w:noProof/>
                <w:lang w:val="id-ID" w:eastAsia="id-ID"/>
              </w:rPr>
            </w:pPr>
            <w:r w:rsidRPr="00C90272">
              <w:rPr>
                <w:rFonts w:ascii="Bookman Old Style" w:hAnsi="Bookman Old Style"/>
                <w:noProof/>
                <w:lang w:val="id-ID" w:eastAsia="id-ID"/>
              </w:rPr>
              <w:lastRenderedPageBreak/>
              <w:t>Note: The number in brackets after the coefficient indicates the robust standard error value. Significance levels are expressed in accented symbols with ***, **, and * which are equal to the significance levels of 1%, 5%, and 10%, respectively.</w:t>
            </w:r>
          </w:p>
        </w:tc>
      </w:tr>
    </w:tbl>
    <w:p w:rsidR="00193E6A" w:rsidRPr="00C90272" w:rsidRDefault="00193E6A" w:rsidP="00193E6A">
      <w:pPr>
        <w:jc w:val="both"/>
        <w:rPr>
          <w:rFonts w:ascii="Bookman Old Style" w:hAnsi="Bookman Old Style"/>
          <w:w w:val="105"/>
        </w:rPr>
      </w:pPr>
    </w:p>
    <w:p w:rsidR="00193E6A" w:rsidRPr="00C90272" w:rsidRDefault="00193E6A" w:rsidP="00193E6A">
      <w:pPr>
        <w:jc w:val="both"/>
        <w:rPr>
          <w:rFonts w:ascii="Bookman Old Style" w:hAnsi="Bookman Old Style"/>
          <w:b/>
          <w:w w:val="105"/>
        </w:rPr>
      </w:pPr>
      <w:r w:rsidRPr="00C90272">
        <w:rPr>
          <w:rFonts w:ascii="Bookman Old Style" w:hAnsi="Bookman Old Style"/>
          <w:b/>
          <w:w w:val="105"/>
        </w:rPr>
        <w:t>Conclusions</w:t>
      </w:r>
    </w:p>
    <w:p w:rsidR="00012883" w:rsidRPr="00C90272" w:rsidRDefault="00012883" w:rsidP="00193E6A">
      <w:pPr>
        <w:jc w:val="both"/>
        <w:rPr>
          <w:rFonts w:ascii="Bookman Old Style" w:hAnsi="Bookman Old Style"/>
          <w:w w:val="105"/>
        </w:rPr>
      </w:pPr>
    </w:p>
    <w:p w:rsidR="00193E6A" w:rsidRPr="00C90272" w:rsidRDefault="00193E6A" w:rsidP="00193E6A">
      <w:pPr>
        <w:jc w:val="both"/>
        <w:rPr>
          <w:rFonts w:ascii="Bookman Old Style" w:hAnsi="Bookman Old Style"/>
          <w:w w:val="105"/>
        </w:rPr>
      </w:pPr>
      <w:r w:rsidRPr="00C90272">
        <w:rPr>
          <w:rFonts w:ascii="Bookman Old Style" w:hAnsi="Bookman Old Style"/>
          <w:w w:val="105"/>
        </w:rPr>
        <w:t>A large number of previous pieces of literature have documented the relationship between the board of the firm and firm value. However, there is very little literature describing the independence and size of the board in providing confidence to the public during a health crisis.</w:t>
      </w:r>
      <w:r w:rsidRPr="00C90272">
        <w:rPr>
          <w:rFonts w:ascii="Bookman Old Style" w:hAnsi="Bookman Old Style"/>
          <w:w w:val="105"/>
          <w:lang w:val="id-ID"/>
        </w:rPr>
        <w:t xml:space="preserve"> </w:t>
      </w:r>
      <w:r w:rsidRPr="00C90272">
        <w:rPr>
          <w:rFonts w:ascii="Bookman Old Style" w:hAnsi="Bookman Old Style"/>
          <w:w w:val="105"/>
        </w:rPr>
        <w:t>This study aims to identify public trust in supervisory boards in companies during the pandemic COVID-19.</w:t>
      </w:r>
    </w:p>
    <w:p w:rsidR="00012883" w:rsidRPr="00C90272" w:rsidRDefault="00012883" w:rsidP="00012883">
      <w:pPr>
        <w:jc w:val="both"/>
        <w:rPr>
          <w:rFonts w:ascii="Bookman Old Style" w:hAnsi="Bookman Old Style"/>
          <w:w w:val="105"/>
        </w:rPr>
      </w:pPr>
    </w:p>
    <w:p w:rsidR="00193E6A" w:rsidRPr="00C90272" w:rsidRDefault="00193E6A" w:rsidP="00012883">
      <w:pPr>
        <w:jc w:val="both"/>
        <w:rPr>
          <w:rFonts w:ascii="Bookman Old Style" w:hAnsi="Bookman Old Style"/>
          <w:w w:val="105"/>
        </w:rPr>
      </w:pPr>
      <w:r w:rsidRPr="00C90272">
        <w:rPr>
          <w:rFonts w:ascii="Bookman Old Style" w:hAnsi="Bookman Old Style"/>
          <w:w w:val="105"/>
        </w:rPr>
        <w:t>Robust regression testing in this study has succeeded in documenting the role of the supervisory board on firm value. The public seems to still believe in the role of an independent supervisory board in the firm. This effect is further strengthened by higher monitoring of the firm's supervisory board.</w:t>
      </w:r>
      <w:r w:rsidRPr="00C90272">
        <w:rPr>
          <w:rFonts w:ascii="Bookman Old Style" w:hAnsi="Bookman Old Style"/>
          <w:w w:val="105"/>
          <w:lang w:val="id-ID"/>
        </w:rPr>
        <w:t xml:space="preserve"> </w:t>
      </w:r>
      <w:r w:rsidRPr="00C90272">
        <w:rPr>
          <w:rFonts w:ascii="Bookman Old Style" w:hAnsi="Bookman Old Style"/>
          <w:w w:val="105"/>
        </w:rPr>
        <w:t xml:space="preserve">This study contributes to policymakers and industry, especially during a </w:t>
      </w:r>
      <w:r w:rsidRPr="00C90272">
        <w:rPr>
          <w:rFonts w:ascii="Bookman Old Style" w:hAnsi="Bookman Old Style"/>
          <w:w w:val="105"/>
          <w:lang w:val="id-ID"/>
        </w:rPr>
        <w:t>crisis</w:t>
      </w:r>
      <w:r w:rsidRPr="00C90272">
        <w:rPr>
          <w:rFonts w:ascii="Bookman Old Style" w:hAnsi="Bookman Old Style"/>
          <w:w w:val="105"/>
        </w:rPr>
        <w:t>. The presence of an independent supervisory board in adequate proportions seems guaranteed by each firm. This is to provide representatives of parties who are considered independent in monitoring and maintaining minority rights in the firm.</w:t>
      </w:r>
    </w:p>
    <w:p w:rsidR="00012883" w:rsidRPr="00C90272" w:rsidRDefault="00012883" w:rsidP="00012883">
      <w:pPr>
        <w:jc w:val="both"/>
        <w:rPr>
          <w:rFonts w:ascii="Bookman Old Style" w:hAnsi="Bookman Old Style"/>
          <w:w w:val="105"/>
        </w:rPr>
      </w:pPr>
    </w:p>
    <w:p w:rsidR="00193E6A" w:rsidRPr="00C90272" w:rsidRDefault="00193E6A" w:rsidP="00012883">
      <w:pPr>
        <w:jc w:val="both"/>
        <w:rPr>
          <w:rFonts w:ascii="Bookman Old Style" w:hAnsi="Bookman Old Style"/>
          <w:w w:val="105"/>
        </w:rPr>
      </w:pPr>
      <w:r w:rsidRPr="00C90272">
        <w:rPr>
          <w:rFonts w:ascii="Bookman Old Style" w:hAnsi="Bookman Old Style"/>
          <w:w w:val="105"/>
        </w:rPr>
        <w:t>As with other studies, the investigation in this study also has limitations. The focus of this study on the supervisory board of non-financial companies in Indonesia in their role of representing minorities and monitoring during the pandemic needs to be validated in subsequent studies with different settings. Verification, in this case, needs to be especially related to certain characteristics that exist in corporate governance during the pandemic.</w:t>
      </w:r>
    </w:p>
    <w:p w:rsidR="00193E6A" w:rsidRPr="00C90272" w:rsidRDefault="00193E6A" w:rsidP="00012883">
      <w:pPr>
        <w:jc w:val="both"/>
        <w:rPr>
          <w:rFonts w:ascii="Bookman Old Style" w:hAnsi="Bookman Old Style"/>
          <w:w w:val="105"/>
        </w:rPr>
      </w:pPr>
    </w:p>
    <w:p w:rsidR="00193E6A" w:rsidRPr="00C90272" w:rsidRDefault="00193E6A" w:rsidP="00012883">
      <w:pPr>
        <w:jc w:val="both"/>
        <w:rPr>
          <w:rFonts w:ascii="Bookman Old Style" w:hAnsi="Bookman Old Style"/>
          <w:b/>
          <w:w w:val="105"/>
        </w:rPr>
      </w:pPr>
      <w:r w:rsidRPr="00C90272">
        <w:rPr>
          <w:rFonts w:ascii="Bookman Old Style" w:hAnsi="Bookman Old Style"/>
          <w:b/>
          <w:w w:val="105"/>
        </w:rPr>
        <w:t>Author contributions</w:t>
      </w:r>
    </w:p>
    <w:p w:rsidR="00012883" w:rsidRPr="00C90272" w:rsidRDefault="00012883" w:rsidP="00012883">
      <w:pPr>
        <w:pStyle w:val="BodyText"/>
        <w:spacing w:after="0"/>
        <w:jc w:val="both"/>
        <w:rPr>
          <w:rFonts w:ascii="Bookman Old Style" w:hAnsi="Bookman Old Style"/>
        </w:rPr>
      </w:pPr>
    </w:p>
    <w:p w:rsidR="00193E6A" w:rsidRPr="00C90272" w:rsidRDefault="00193E6A" w:rsidP="00012883">
      <w:pPr>
        <w:pStyle w:val="BodyText"/>
        <w:spacing w:after="0"/>
        <w:jc w:val="both"/>
        <w:rPr>
          <w:rFonts w:ascii="Bookman Old Style" w:hAnsi="Bookman Old Style"/>
        </w:rPr>
      </w:pPr>
      <w:r w:rsidRPr="00C90272">
        <w:rPr>
          <w:rFonts w:ascii="Bookman Old Style" w:hAnsi="Bookman Old Style"/>
        </w:rPr>
        <w:t>Arif Budi Satrio contributed to data collection and processing, literature reviews, and data analysis. Maria Kontesa plays a role in conducting literature reviews and data analysis.</w:t>
      </w:r>
    </w:p>
    <w:p w:rsidR="00193E6A" w:rsidRPr="00C90272" w:rsidRDefault="00193E6A" w:rsidP="00012883">
      <w:pPr>
        <w:jc w:val="both"/>
        <w:rPr>
          <w:rFonts w:ascii="Bookman Old Style" w:hAnsi="Bookman Old Style"/>
          <w:w w:val="105"/>
        </w:rPr>
      </w:pPr>
    </w:p>
    <w:p w:rsidR="00193E6A" w:rsidRPr="00C90272" w:rsidRDefault="00193E6A" w:rsidP="00012883">
      <w:pPr>
        <w:jc w:val="both"/>
        <w:rPr>
          <w:rFonts w:ascii="Bookman Old Style" w:hAnsi="Bookman Old Style"/>
          <w:b/>
          <w:w w:val="105"/>
        </w:rPr>
      </w:pPr>
      <w:r w:rsidRPr="00C90272">
        <w:rPr>
          <w:rFonts w:ascii="Bookman Old Style" w:hAnsi="Bookman Old Style"/>
          <w:b/>
          <w:w w:val="105"/>
        </w:rPr>
        <w:t>Grant information</w:t>
      </w:r>
    </w:p>
    <w:p w:rsidR="00012883" w:rsidRPr="00C90272" w:rsidRDefault="00012883" w:rsidP="00012883">
      <w:pPr>
        <w:jc w:val="both"/>
        <w:rPr>
          <w:rFonts w:ascii="Bookman Old Style" w:hAnsi="Bookman Old Style"/>
          <w:w w:val="105"/>
        </w:rPr>
      </w:pPr>
    </w:p>
    <w:p w:rsidR="004A1CD1" w:rsidRPr="00C90272" w:rsidRDefault="00193E6A" w:rsidP="00012883">
      <w:pPr>
        <w:jc w:val="both"/>
        <w:rPr>
          <w:rFonts w:ascii="Bookman Old Style" w:hAnsi="Bookman Old Style"/>
        </w:rPr>
      </w:pPr>
      <w:r w:rsidRPr="00C90272">
        <w:rPr>
          <w:rFonts w:ascii="Bookman Old Style" w:hAnsi="Bookman Old Style"/>
          <w:w w:val="105"/>
        </w:rPr>
        <w:t>Funding is provided by the Ministry of Research and Technology/National Research and Innovation Agency with Decree No. 1867/E4/AK.04/2021 dated 12 July 2021.</w:t>
      </w:r>
    </w:p>
    <w:p w:rsidR="00E530FD" w:rsidRPr="00C90272" w:rsidRDefault="00E530FD" w:rsidP="00012883">
      <w:pPr>
        <w:jc w:val="both"/>
        <w:rPr>
          <w:rFonts w:ascii="Bookman Old Style" w:hAnsi="Bookman Old Style"/>
        </w:rPr>
      </w:pPr>
    </w:p>
    <w:p w:rsidR="009F2287" w:rsidRPr="00C90272" w:rsidRDefault="001D128B" w:rsidP="003876F6">
      <w:pPr>
        <w:rPr>
          <w:rFonts w:ascii="Bookman Old Style" w:hAnsi="Bookman Old Style"/>
          <w:b/>
          <w:iCs/>
        </w:rPr>
      </w:pPr>
      <w:bookmarkStart w:id="1" w:name="References"/>
      <w:r w:rsidRPr="00C90272">
        <w:rPr>
          <w:rFonts w:ascii="Bookman Old Style" w:hAnsi="Bookman Old Style"/>
          <w:b/>
          <w:iCs/>
        </w:rPr>
        <w:t>References</w:t>
      </w:r>
    </w:p>
    <w:p w:rsidR="00210CCF" w:rsidRPr="00C90272" w:rsidRDefault="00210CCF" w:rsidP="003876F6">
      <w:pPr>
        <w:rPr>
          <w:rFonts w:ascii="Bookman Old Style" w:hAnsi="Bookman Old Style"/>
          <w:b/>
          <w:bCs/>
          <w:iCs/>
        </w:rPr>
      </w:pPr>
    </w:p>
    <w:bookmarkEnd w:id="1"/>
    <w:p w:rsidR="00C90272" w:rsidRPr="00C90272" w:rsidRDefault="00C90272" w:rsidP="00832382">
      <w:pPr>
        <w:pStyle w:val="EndNoteBibliography"/>
        <w:spacing w:after="0"/>
        <w:ind w:left="284" w:hanging="284"/>
        <w:rPr>
          <w:rFonts w:ascii="Bookman Old Style" w:hAnsi="Bookman Old Style" w:cs="Times New Roman"/>
          <w:sz w:val="20"/>
          <w:szCs w:val="20"/>
        </w:rPr>
      </w:pPr>
      <w:r w:rsidRPr="00C90272">
        <w:rPr>
          <w:rFonts w:ascii="Bookman Old Style" w:hAnsi="Bookman Old Style" w:cs="Times New Roman"/>
          <w:sz w:val="20"/>
          <w:szCs w:val="20"/>
        </w:rPr>
        <w:t>ACGA. (2019). Corporate Governance Watch 2018, Hard Decisions: Asia Faces Tough Choices in CG Reform.</w:t>
      </w:r>
    </w:p>
    <w:p w:rsidR="00C90272" w:rsidRPr="00C90272" w:rsidRDefault="00C90272" w:rsidP="00832382">
      <w:pPr>
        <w:pStyle w:val="EndNoteBibliography"/>
        <w:spacing w:after="0"/>
        <w:ind w:left="284" w:hanging="284"/>
        <w:rPr>
          <w:rFonts w:ascii="Bookman Old Style" w:hAnsi="Bookman Old Style" w:cs="Times New Roman"/>
          <w:sz w:val="20"/>
          <w:szCs w:val="20"/>
        </w:rPr>
      </w:pPr>
      <w:r w:rsidRPr="00C90272">
        <w:rPr>
          <w:rFonts w:ascii="Bookman Old Style" w:hAnsi="Bookman Old Style" w:cs="Times New Roman"/>
          <w:sz w:val="20"/>
          <w:szCs w:val="20"/>
        </w:rPr>
        <w:t xml:space="preserve">ACGA. (2021). Corporate Governance Watch 2020: Australia Ranks No.1 by Market; Material and Capital Goods Best Performing Sector.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lastRenderedPageBreak/>
        <w:t>Al-Awadhi, A. M., Alsaifi, K., Al-Awadhi, A., &amp; Alhammadi, S. (2020). Death and contagious infectious diseases: Impact of the COVID-19 virus on stock market returns. </w:t>
      </w:r>
      <w:r w:rsidRPr="00C90272">
        <w:rPr>
          <w:rFonts w:ascii="Bookman Old Style" w:hAnsi="Bookman Old Style" w:cs="Arial"/>
          <w:i/>
          <w:iCs/>
          <w:color w:val="222222"/>
          <w:sz w:val="20"/>
          <w:szCs w:val="20"/>
          <w:shd w:val="clear" w:color="auto" w:fill="FFFFFF"/>
        </w:rPr>
        <w:t>Journal of behavioral and experimental finance</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27</w:t>
      </w:r>
      <w:r w:rsidRPr="00C90272">
        <w:rPr>
          <w:rFonts w:ascii="Bookman Old Style" w:hAnsi="Bookman Old Style" w:cs="Arial"/>
          <w:color w:val="222222"/>
          <w:sz w:val="20"/>
          <w:szCs w:val="20"/>
          <w:shd w:val="clear" w:color="auto" w:fill="FFFFFF"/>
        </w:rPr>
        <w:t>, 100326.</w:t>
      </w:r>
      <w:r w:rsidRPr="00C90272">
        <w:rPr>
          <w:rFonts w:ascii="Bookman Old Style" w:hAnsi="Bookman Old Style"/>
          <w:sz w:val="20"/>
          <w:szCs w:val="20"/>
        </w:rPr>
        <w:t xml:space="preserve"> </w:t>
      </w:r>
      <w:hyperlink r:id="rId8" w:history="1">
        <w:r w:rsidRPr="00C90272">
          <w:rPr>
            <w:rStyle w:val="Hyperlink"/>
            <w:rFonts w:ascii="Bookman Old Style" w:hAnsi="Bookman Old Style" w:cs="Arial"/>
            <w:sz w:val="20"/>
            <w:szCs w:val="20"/>
            <w:u w:val="none"/>
            <w:shd w:val="clear" w:color="auto" w:fill="FFFFFF"/>
          </w:rPr>
          <w:t>https://doi.org/10.1016/j.jbef.2020.100326</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Times New Roman"/>
          <w:sz w:val="20"/>
          <w:szCs w:val="20"/>
        </w:rPr>
      </w:pPr>
      <w:r w:rsidRPr="00C90272">
        <w:rPr>
          <w:rFonts w:ascii="Bookman Old Style" w:hAnsi="Bookman Old Style" w:cs="Arial"/>
          <w:color w:val="222222"/>
          <w:sz w:val="20"/>
          <w:szCs w:val="20"/>
          <w:shd w:val="clear" w:color="auto" w:fill="FFFFFF"/>
        </w:rPr>
        <w:t>Anderson, R. C., Mansi, S. A., &amp; Reeb, D. M. (2004). Board characteristics, accounting report integrity, and the cost of debt. </w:t>
      </w:r>
      <w:r w:rsidRPr="00C90272">
        <w:rPr>
          <w:rFonts w:ascii="Bookman Old Style" w:hAnsi="Bookman Old Style" w:cs="Arial"/>
          <w:i/>
          <w:iCs/>
          <w:color w:val="222222"/>
          <w:sz w:val="20"/>
          <w:szCs w:val="20"/>
          <w:shd w:val="clear" w:color="auto" w:fill="FFFFFF"/>
        </w:rPr>
        <w:t>Journal of accounting and economics</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37</w:t>
      </w:r>
      <w:r w:rsidRPr="00C90272">
        <w:rPr>
          <w:rFonts w:ascii="Bookman Old Style" w:hAnsi="Bookman Old Style" w:cs="Arial"/>
          <w:color w:val="222222"/>
          <w:sz w:val="20"/>
          <w:szCs w:val="20"/>
          <w:shd w:val="clear" w:color="auto" w:fill="FFFFFF"/>
        </w:rPr>
        <w:t>(3), 315-342.</w:t>
      </w:r>
      <w:r w:rsidRPr="00C90272">
        <w:rPr>
          <w:rFonts w:ascii="Bookman Old Style" w:hAnsi="Bookman Old Style"/>
          <w:sz w:val="20"/>
          <w:szCs w:val="20"/>
        </w:rPr>
        <w:t xml:space="preserve"> </w:t>
      </w:r>
      <w:hyperlink r:id="rId9" w:history="1">
        <w:r w:rsidRPr="00C90272">
          <w:rPr>
            <w:rStyle w:val="Hyperlink"/>
            <w:rFonts w:ascii="Bookman Old Style" w:hAnsi="Bookman Old Style" w:cs="Arial"/>
            <w:sz w:val="20"/>
            <w:szCs w:val="20"/>
            <w:u w:val="none"/>
            <w:shd w:val="clear" w:color="auto" w:fill="FFFFFF"/>
          </w:rPr>
          <w:t>https://doi.org/10.1016/j.jacceco.2004.01.004</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Banz, R. W. (1981). The relationship between return and market value of common stocks. </w:t>
      </w:r>
      <w:r w:rsidRPr="00C90272">
        <w:rPr>
          <w:rFonts w:ascii="Bookman Old Style" w:hAnsi="Bookman Old Style" w:cs="Arial"/>
          <w:i/>
          <w:iCs/>
          <w:color w:val="222222"/>
          <w:sz w:val="20"/>
          <w:szCs w:val="20"/>
          <w:shd w:val="clear" w:color="auto" w:fill="FFFFFF"/>
        </w:rPr>
        <w:t>Journal of financial economics</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9</w:t>
      </w:r>
      <w:r w:rsidRPr="00C90272">
        <w:rPr>
          <w:rFonts w:ascii="Bookman Old Style" w:hAnsi="Bookman Old Style" w:cs="Arial"/>
          <w:color w:val="222222"/>
          <w:sz w:val="20"/>
          <w:szCs w:val="20"/>
          <w:shd w:val="clear" w:color="auto" w:fill="FFFFFF"/>
        </w:rPr>
        <w:t>(1), 3-18.</w:t>
      </w:r>
      <w:r w:rsidRPr="00C90272">
        <w:rPr>
          <w:rFonts w:ascii="Bookman Old Style" w:hAnsi="Bookman Old Style"/>
          <w:sz w:val="20"/>
          <w:szCs w:val="20"/>
        </w:rPr>
        <w:t xml:space="preserve"> </w:t>
      </w:r>
      <w:hyperlink r:id="rId10" w:history="1">
        <w:r w:rsidRPr="00C90272">
          <w:rPr>
            <w:rStyle w:val="Hyperlink"/>
            <w:rFonts w:ascii="Bookman Old Style" w:hAnsi="Bookman Old Style" w:cs="Arial"/>
            <w:sz w:val="20"/>
            <w:szCs w:val="20"/>
            <w:u w:val="none"/>
            <w:shd w:val="clear" w:color="auto" w:fill="FFFFFF"/>
          </w:rPr>
          <w:t>https://doi.org/10.1016/0304-405X(81)90018-0</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Chen, C. J., Lin, B. W., Lin, Y. H., &amp; Hsiao, Y. C. (2016). Ownership structure, independent board members and innovation performance: A contingency perspective. </w:t>
      </w:r>
      <w:r w:rsidRPr="00C90272">
        <w:rPr>
          <w:rFonts w:ascii="Bookman Old Style" w:hAnsi="Bookman Old Style" w:cs="Arial"/>
          <w:i/>
          <w:iCs/>
          <w:color w:val="222222"/>
          <w:sz w:val="20"/>
          <w:szCs w:val="20"/>
          <w:shd w:val="clear" w:color="auto" w:fill="FFFFFF"/>
        </w:rPr>
        <w:t>Journal of Business Research</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69</w:t>
      </w:r>
      <w:r w:rsidRPr="00C90272">
        <w:rPr>
          <w:rFonts w:ascii="Bookman Old Style" w:hAnsi="Bookman Old Style" w:cs="Arial"/>
          <w:color w:val="222222"/>
          <w:sz w:val="20"/>
          <w:szCs w:val="20"/>
          <w:shd w:val="clear" w:color="auto" w:fill="FFFFFF"/>
        </w:rPr>
        <w:t>(9), 3371-3379.</w:t>
      </w:r>
      <w:r w:rsidRPr="00C90272">
        <w:rPr>
          <w:rFonts w:ascii="Bookman Old Style" w:hAnsi="Bookman Old Style"/>
          <w:sz w:val="20"/>
          <w:szCs w:val="20"/>
        </w:rPr>
        <w:t xml:space="preserve"> </w:t>
      </w:r>
      <w:hyperlink r:id="rId11" w:history="1">
        <w:r w:rsidRPr="00C90272">
          <w:rPr>
            <w:rStyle w:val="Hyperlink"/>
            <w:rFonts w:ascii="Bookman Old Style" w:hAnsi="Bookman Old Style" w:cs="Arial"/>
            <w:sz w:val="20"/>
            <w:szCs w:val="20"/>
            <w:u w:val="none"/>
            <w:shd w:val="clear" w:color="auto" w:fill="FFFFFF"/>
          </w:rPr>
          <w:t>https://doi.org/10.1016/j.jbusres.2016.02.007</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Chen, M. H., Jang, S. S., &amp; Kim, W. G. (2007). The impact of the SARS outbreak on Taiwanese hotel stock performance: an event-study approach. </w:t>
      </w:r>
      <w:r w:rsidRPr="00C90272">
        <w:rPr>
          <w:rFonts w:ascii="Bookman Old Style" w:hAnsi="Bookman Old Style" w:cs="Arial"/>
          <w:i/>
          <w:iCs/>
          <w:color w:val="222222"/>
          <w:sz w:val="20"/>
          <w:szCs w:val="20"/>
          <w:shd w:val="clear" w:color="auto" w:fill="FFFFFF"/>
        </w:rPr>
        <w:t>International Journal of Hospitality Management</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26</w:t>
      </w:r>
      <w:r w:rsidRPr="00C90272">
        <w:rPr>
          <w:rFonts w:ascii="Bookman Old Style" w:hAnsi="Bookman Old Style" w:cs="Arial"/>
          <w:color w:val="222222"/>
          <w:sz w:val="20"/>
          <w:szCs w:val="20"/>
          <w:shd w:val="clear" w:color="auto" w:fill="FFFFFF"/>
        </w:rPr>
        <w:t>(1), 200-212.</w:t>
      </w:r>
      <w:r w:rsidRPr="00C90272">
        <w:rPr>
          <w:rFonts w:ascii="Bookman Old Style" w:hAnsi="Bookman Old Style"/>
          <w:sz w:val="20"/>
          <w:szCs w:val="20"/>
        </w:rPr>
        <w:t xml:space="preserve"> </w:t>
      </w:r>
      <w:hyperlink r:id="rId12" w:history="1">
        <w:r w:rsidRPr="00C90272">
          <w:rPr>
            <w:rStyle w:val="Hyperlink"/>
            <w:rFonts w:ascii="Bookman Old Style" w:hAnsi="Bookman Old Style" w:cs="Arial"/>
            <w:sz w:val="20"/>
            <w:szCs w:val="20"/>
            <w:u w:val="none"/>
            <w:shd w:val="clear" w:color="auto" w:fill="FFFFFF"/>
          </w:rPr>
          <w:t>https://doi.org/10.1016/j.ijhm.2005.11.004</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Dercon, B. (2007). Corporate governance after the Asian crisis: Querying the Indonesian environment. </w:t>
      </w:r>
      <w:r w:rsidRPr="00C90272">
        <w:rPr>
          <w:rFonts w:ascii="Bookman Old Style" w:hAnsi="Bookman Old Style" w:cs="Arial"/>
          <w:i/>
          <w:iCs/>
          <w:color w:val="222222"/>
          <w:sz w:val="20"/>
          <w:szCs w:val="20"/>
          <w:shd w:val="clear" w:color="auto" w:fill="FFFFFF"/>
        </w:rPr>
        <w:t>Managerial Law</w:t>
      </w:r>
      <w:r w:rsidRPr="00C90272">
        <w:rPr>
          <w:rFonts w:ascii="Bookman Old Style" w:hAnsi="Bookman Old Style" w:cs="Arial"/>
          <w:color w:val="222222"/>
          <w:sz w:val="20"/>
          <w:szCs w:val="20"/>
          <w:shd w:val="clear" w:color="auto" w:fill="FFFFFF"/>
        </w:rPr>
        <w:t>.</w:t>
      </w:r>
    </w:p>
    <w:p w:rsidR="00C90272" w:rsidRPr="00C90272" w:rsidRDefault="00C90272" w:rsidP="00832382">
      <w:pPr>
        <w:pStyle w:val="EndNoteBibliography"/>
        <w:spacing w:after="0"/>
        <w:ind w:left="284" w:hanging="284"/>
        <w:rPr>
          <w:rFonts w:ascii="Bookman Old Style" w:hAnsi="Bookman Old Style" w:cs="Times New Roman"/>
          <w:color w:val="7030A0"/>
          <w:sz w:val="20"/>
          <w:szCs w:val="20"/>
        </w:rPr>
      </w:pPr>
      <w:r w:rsidRPr="00C90272">
        <w:rPr>
          <w:rFonts w:ascii="Bookman Old Style" w:hAnsi="Bookman Old Style" w:cs="Arial"/>
          <w:color w:val="222222"/>
          <w:sz w:val="20"/>
          <w:szCs w:val="20"/>
          <w:shd w:val="clear" w:color="auto" w:fill="FFFFFF"/>
        </w:rPr>
        <w:t>Ding, W., Levine, R., Lin, C., &amp; Xie, W. (2021). Corporate immunity to the COVID-19 pandemic. </w:t>
      </w:r>
      <w:r w:rsidRPr="00C90272">
        <w:rPr>
          <w:rFonts w:ascii="Bookman Old Style" w:hAnsi="Bookman Old Style" w:cs="Arial"/>
          <w:i/>
          <w:iCs/>
          <w:color w:val="222222"/>
          <w:sz w:val="20"/>
          <w:szCs w:val="20"/>
          <w:shd w:val="clear" w:color="auto" w:fill="FFFFFF"/>
        </w:rPr>
        <w:t>Journal of Financial Economics</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141</w:t>
      </w:r>
      <w:r w:rsidRPr="00C90272">
        <w:rPr>
          <w:rFonts w:ascii="Bookman Old Style" w:hAnsi="Bookman Old Style" w:cs="Arial"/>
          <w:color w:val="222222"/>
          <w:sz w:val="20"/>
          <w:szCs w:val="20"/>
          <w:shd w:val="clear" w:color="auto" w:fill="FFFFFF"/>
        </w:rPr>
        <w:t>(2), 802-830.</w:t>
      </w:r>
      <w:r w:rsidRPr="00C90272">
        <w:rPr>
          <w:rFonts w:ascii="Bookman Old Style" w:hAnsi="Bookman Old Style"/>
          <w:sz w:val="20"/>
          <w:szCs w:val="20"/>
        </w:rPr>
        <w:t xml:space="preserve"> </w:t>
      </w:r>
      <w:hyperlink r:id="rId13" w:history="1">
        <w:r w:rsidRPr="00C90272">
          <w:rPr>
            <w:rStyle w:val="Hyperlink"/>
            <w:rFonts w:ascii="Bookman Old Style" w:hAnsi="Bookman Old Style" w:cs="Arial"/>
            <w:sz w:val="20"/>
            <w:szCs w:val="20"/>
            <w:u w:val="none"/>
            <w:shd w:val="clear" w:color="auto" w:fill="FFFFFF"/>
          </w:rPr>
          <w:t>https://doi.org/10.1016/j.jfineco.2021.03.005</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Donadelli, M., Kizys, R., &amp; Riedel, M. (2017). Dangerous infectious diseases: Bad news for Main Street, good news for Wall Street?. </w:t>
      </w:r>
      <w:r w:rsidRPr="00C90272">
        <w:rPr>
          <w:rFonts w:ascii="Bookman Old Style" w:hAnsi="Bookman Old Style" w:cs="Arial"/>
          <w:i/>
          <w:iCs/>
          <w:color w:val="222222"/>
          <w:sz w:val="20"/>
          <w:szCs w:val="20"/>
          <w:shd w:val="clear" w:color="auto" w:fill="FFFFFF"/>
        </w:rPr>
        <w:t>Journal of Financial Markets</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35</w:t>
      </w:r>
      <w:r w:rsidRPr="00C90272">
        <w:rPr>
          <w:rFonts w:ascii="Bookman Old Style" w:hAnsi="Bookman Old Style" w:cs="Arial"/>
          <w:color w:val="222222"/>
          <w:sz w:val="20"/>
          <w:szCs w:val="20"/>
          <w:shd w:val="clear" w:color="auto" w:fill="FFFFFF"/>
        </w:rPr>
        <w:t>, 84-103.</w:t>
      </w:r>
      <w:r w:rsidRPr="00C90272">
        <w:rPr>
          <w:rFonts w:ascii="Bookman Old Style" w:hAnsi="Bookman Old Style"/>
          <w:sz w:val="20"/>
          <w:szCs w:val="20"/>
        </w:rPr>
        <w:t xml:space="preserve"> </w:t>
      </w:r>
      <w:hyperlink r:id="rId14" w:history="1">
        <w:r w:rsidRPr="00C90272">
          <w:rPr>
            <w:rStyle w:val="Hyperlink"/>
            <w:rFonts w:ascii="Bookman Old Style" w:hAnsi="Bookman Old Style" w:cs="Arial"/>
            <w:sz w:val="20"/>
            <w:szCs w:val="20"/>
            <w:u w:val="none"/>
            <w:shd w:val="clear" w:color="auto" w:fill="FFFFFF"/>
          </w:rPr>
          <w:t>https://doi.org/10.1016/j.finmar.2016.12.003</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Gafoor, C. A., Mariappan, V., &amp; Thyagarajan, S. (2018). Board characteristics and bank performance in India. </w:t>
      </w:r>
      <w:r w:rsidRPr="00C90272">
        <w:rPr>
          <w:rFonts w:ascii="Bookman Old Style" w:hAnsi="Bookman Old Style" w:cs="Arial"/>
          <w:i/>
          <w:iCs/>
          <w:color w:val="222222"/>
          <w:sz w:val="20"/>
          <w:szCs w:val="20"/>
          <w:shd w:val="clear" w:color="auto" w:fill="FFFFFF"/>
        </w:rPr>
        <w:t>IIMB management review</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30</w:t>
      </w:r>
      <w:r w:rsidRPr="00C90272">
        <w:rPr>
          <w:rFonts w:ascii="Bookman Old Style" w:hAnsi="Bookman Old Style" w:cs="Arial"/>
          <w:color w:val="222222"/>
          <w:sz w:val="20"/>
          <w:szCs w:val="20"/>
          <w:shd w:val="clear" w:color="auto" w:fill="FFFFFF"/>
        </w:rPr>
        <w:t>(2), 160-167.</w:t>
      </w:r>
      <w:r w:rsidRPr="00C90272">
        <w:rPr>
          <w:rFonts w:ascii="Bookman Old Style" w:hAnsi="Bookman Old Style"/>
          <w:sz w:val="20"/>
          <w:szCs w:val="20"/>
        </w:rPr>
        <w:t xml:space="preserve"> </w:t>
      </w:r>
      <w:hyperlink r:id="rId15" w:history="1">
        <w:r w:rsidRPr="00C90272">
          <w:rPr>
            <w:rStyle w:val="Hyperlink"/>
            <w:rFonts w:ascii="Bookman Old Style" w:hAnsi="Bookman Old Style" w:cs="Arial"/>
            <w:sz w:val="20"/>
            <w:szCs w:val="20"/>
            <w:u w:val="none"/>
            <w:shd w:val="clear" w:color="auto" w:fill="FFFFFF"/>
          </w:rPr>
          <w:t>https://doi.org/10.1016/j.iimb.2018.01.007</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Ichev, R., &amp; Marinč, M. (2018). Stock prices and geographic proximity of information: Evidence from the Ebola outbreak. </w:t>
      </w:r>
      <w:r w:rsidRPr="00C90272">
        <w:rPr>
          <w:rFonts w:ascii="Bookman Old Style" w:hAnsi="Bookman Old Style" w:cs="Arial"/>
          <w:i/>
          <w:iCs/>
          <w:color w:val="222222"/>
          <w:sz w:val="20"/>
          <w:szCs w:val="20"/>
          <w:shd w:val="clear" w:color="auto" w:fill="FFFFFF"/>
        </w:rPr>
        <w:t>International Review of Financial Analysis</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56</w:t>
      </w:r>
      <w:r w:rsidRPr="00C90272">
        <w:rPr>
          <w:rFonts w:ascii="Bookman Old Style" w:hAnsi="Bookman Old Style" w:cs="Arial"/>
          <w:color w:val="222222"/>
          <w:sz w:val="20"/>
          <w:szCs w:val="20"/>
          <w:shd w:val="clear" w:color="auto" w:fill="FFFFFF"/>
        </w:rPr>
        <w:t>, 153-166.</w:t>
      </w:r>
      <w:r w:rsidRPr="00C90272">
        <w:rPr>
          <w:rFonts w:ascii="Bookman Old Style" w:hAnsi="Bookman Old Style"/>
          <w:sz w:val="20"/>
          <w:szCs w:val="20"/>
        </w:rPr>
        <w:t xml:space="preserve"> </w:t>
      </w:r>
      <w:hyperlink r:id="rId16" w:history="1">
        <w:r w:rsidRPr="00C90272">
          <w:rPr>
            <w:rStyle w:val="Hyperlink"/>
            <w:rFonts w:ascii="Bookman Old Style" w:hAnsi="Bookman Old Style" w:cs="Arial"/>
            <w:sz w:val="20"/>
            <w:szCs w:val="20"/>
            <w:u w:val="none"/>
            <w:shd w:val="clear" w:color="auto" w:fill="FFFFFF"/>
          </w:rPr>
          <w:t>https://doi.org/10.1016/j.irfa.2017.12.004</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C90272">
      <w:pPr>
        <w:ind w:left="284" w:hanging="284"/>
        <w:jc w:val="both"/>
        <w:rPr>
          <w:rFonts w:ascii="Bookman Old Style" w:hAnsi="Bookman Old Style" w:cs="Segoe UI"/>
          <w:color w:val="212529"/>
        </w:rPr>
      </w:pPr>
      <w:r w:rsidRPr="00C90272">
        <w:rPr>
          <w:rFonts w:ascii="Bookman Old Style" w:hAnsi="Bookman Old Style" w:cs="Segoe UI"/>
          <w:color w:val="212529"/>
        </w:rPr>
        <w:t>Irwanti, N. P. P. W., &amp; Ratnadi, N. M. D. (2021). Good corporate governance moderate the effect of financial performance on firm value. </w:t>
      </w:r>
      <w:r w:rsidRPr="00C90272">
        <w:rPr>
          <w:rFonts w:ascii="Bookman Old Style" w:hAnsi="Bookman Old Style" w:cs="Segoe UI"/>
          <w:i/>
          <w:iCs/>
          <w:color w:val="212529"/>
        </w:rPr>
        <w:t>International Research Journal of Management, IT and Social Sciences</w:t>
      </w:r>
      <w:r w:rsidRPr="00C90272">
        <w:rPr>
          <w:rFonts w:ascii="Bookman Old Style" w:hAnsi="Bookman Old Style" w:cs="Segoe UI"/>
          <w:color w:val="212529"/>
        </w:rPr>
        <w:t>, </w:t>
      </w:r>
      <w:r w:rsidRPr="00C90272">
        <w:rPr>
          <w:rFonts w:ascii="Bookman Old Style" w:hAnsi="Bookman Old Style" w:cs="Segoe UI"/>
          <w:i/>
          <w:iCs/>
          <w:color w:val="212529"/>
        </w:rPr>
        <w:t>8</w:t>
      </w:r>
      <w:r w:rsidRPr="00C90272">
        <w:rPr>
          <w:rFonts w:ascii="Bookman Old Style" w:hAnsi="Bookman Old Style" w:cs="Segoe UI"/>
          <w:color w:val="212529"/>
        </w:rPr>
        <w:t>(1), 91-101. https://doi.org/10.21744/irjmis.v8n1.1117</w:t>
      </w:r>
    </w:p>
    <w:p w:rsidR="00C90272" w:rsidRPr="00C90272" w:rsidRDefault="00C90272" w:rsidP="00C90272">
      <w:pPr>
        <w:ind w:left="284" w:hanging="284"/>
        <w:jc w:val="both"/>
        <w:rPr>
          <w:rFonts w:ascii="Bookman Old Style" w:hAnsi="Bookman Old Style" w:cs="Segoe UI"/>
          <w:color w:val="212529"/>
        </w:rPr>
      </w:pPr>
      <w:r w:rsidRPr="00C90272">
        <w:rPr>
          <w:rFonts w:ascii="Bookman Old Style" w:hAnsi="Bookman Old Style"/>
        </w:rPr>
        <w:t xml:space="preserve">Kustina, K.T., Dewi, G.A.A.O., Prena, G.D., Suryasa, W. (2019). Branchless banking, third-party funds, and profitability evidence reference to banking sector in indonesia. </w:t>
      </w:r>
      <w:r w:rsidRPr="00C90272">
        <w:rPr>
          <w:rFonts w:ascii="Bookman Old Style" w:hAnsi="Bookman Old Style"/>
          <w:i/>
        </w:rPr>
        <w:t>Journal of Advanced Research in Dynamical and Control Systems, 11</w:t>
      </w:r>
      <w:r w:rsidRPr="00C90272">
        <w:rPr>
          <w:rFonts w:ascii="Bookman Old Style" w:hAnsi="Bookman Old Style"/>
        </w:rPr>
        <w:t>(2), 290-299.</w:t>
      </w:r>
    </w:p>
    <w:p w:rsidR="00C90272" w:rsidRPr="00C90272" w:rsidRDefault="00C90272" w:rsidP="00832382">
      <w:pPr>
        <w:ind w:left="284" w:hanging="284"/>
        <w:jc w:val="both"/>
        <w:rPr>
          <w:rFonts w:ascii="Bookman Old Style" w:hAnsi="Bookman Old Style" w:cs="Segoe UI"/>
          <w:color w:val="212529"/>
        </w:rPr>
      </w:pPr>
      <w:r w:rsidRPr="00832382">
        <w:rPr>
          <w:rFonts w:ascii="Bookman Old Style" w:hAnsi="Bookman Old Style" w:cs="Segoe UI"/>
          <w:color w:val="212529"/>
        </w:rPr>
        <w:t>Maemunah, S., &amp; Cuaca, H. (2021). Influence of epidemic COVID–19 on business strategy, information technology and supply chain agility to firm performance in medical device industry. </w:t>
      </w:r>
      <w:r w:rsidRPr="00832382">
        <w:rPr>
          <w:rFonts w:ascii="Bookman Old Style" w:hAnsi="Bookman Old Style" w:cs="Segoe UI"/>
          <w:i/>
          <w:iCs/>
          <w:color w:val="212529"/>
        </w:rPr>
        <w:t>Linguistics and Culture Review</w:t>
      </w:r>
      <w:r w:rsidRPr="00832382">
        <w:rPr>
          <w:rFonts w:ascii="Bookman Old Style" w:hAnsi="Bookman Old Style" w:cs="Segoe UI"/>
          <w:color w:val="212529"/>
        </w:rPr>
        <w:t>, </w:t>
      </w:r>
      <w:r w:rsidRPr="00832382">
        <w:rPr>
          <w:rFonts w:ascii="Bookman Old Style" w:hAnsi="Bookman Old Style" w:cs="Segoe UI"/>
          <w:i/>
          <w:iCs/>
          <w:color w:val="212529"/>
        </w:rPr>
        <w:t>5</w:t>
      </w:r>
      <w:r w:rsidRPr="00832382">
        <w:rPr>
          <w:rFonts w:ascii="Bookman Old Style" w:hAnsi="Bookman Old Style" w:cs="Segoe UI"/>
          <w:color w:val="212529"/>
        </w:rPr>
        <w:t xml:space="preserve">(S1), 661-669. </w:t>
      </w:r>
      <w:hyperlink r:id="rId17" w:history="1">
        <w:r w:rsidRPr="00C90272">
          <w:rPr>
            <w:rStyle w:val="Hyperlink"/>
            <w:rFonts w:ascii="Bookman Old Style" w:hAnsi="Bookman Old Style" w:cs="Segoe UI"/>
            <w:u w:val="none"/>
          </w:rPr>
          <w:t>https://doi.org/10.21744/lingcure.v5nS1.1452</w:t>
        </w:r>
      </w:hyperlink>
    </w:p>
    <w:p w:rsidR="00C90272" w:rsidRPr="00C90272" w:rsidRDefault="00C90272" w:rsidP="00832382">
      <w:pPr>
        <w:ind w:left="284" w:hanging="284"/>
        <w:jc w:val="both"/>
        <w:rPr>
          <w:rFonts w:ascii="Bookman Old Style" w:hAnsi="Bookman Old Style" w:cs="Segoe UI"/>
          <w:color w:val="212529"/>
        </w:rPr>
      </w:pPr>
      <w:r w:rsidRPr="00832382">
        <w:rPr>
          <w:rFonts w:ascii="Bookman Old Style" w:hAnsi="Bookman Old Style" w:cs="Segoe UI"/>
          <w:color w:val="212529"/>
        </w:rPr>
        <w:t>Rismayani, R., Wahyuningtyas, R., &amp; Disastra, G. M. (2021). Resource-based framework for assessing cooperative institutional’s global competitiveness as small medium enterprise (SME). </w:t>
      </w:r>
      <w:r w:rsidRPr="00832382">
        <w:rPr>
          <w:rFonts w:ascii="Bookman Old Style" w:hAnsi="Bookman Old Style" w:cs="Segoe UI"/>
          <w:i/>
          <w:iCs/>
          <w:color w:val="212529"/>
        </w:rPr>
        <w:t>Linguistics and Culture Review</w:t>
      </w:r>
      <w:r w:rsidRPr="00832382">
        <w:rPr>
          <w:rFonts w:ascii="Bookman Old Style" w:hAnsi="Bookman Old Style" w:cs="Segoe UI"/>
          <w:color w:val="212529"/>
        </w:rPr>
        <w:t>, </w:t>
      </w:r>
      <w:r w:rsidRPr="00832382">
        <w:rPr>
          <w:rFonts w:ascii="Bookman Old Style" w:hAnsi="Bookman Old Style" w:cs="Segoe UI"/>
          <w:i/>
          <w:iCs/>
          <w:color w:val="212529"/>
        </w:rPr>
        <w:t>5</w:t>
      </w:r>
      <w:r w:rsidRPr="00832382">
        <w:rPr>
          <w:rFonts w:ascii="Bookman Old Style" w:hAnsi="Bookman Old Style" w:cs="Segoe UI"/>
          <w:color w:val="212529"/>
        </w:rPr>
        <w:t xml:space="preserve">(S1). </w:t>
      </w:r>
      <w:hyperlink r:id="rId18" w:history="1">
        <w:r w:rsidRPr="00C90272">
          <w:rPr>
            <w:rStyle w:val="Hyperlink"/>
            <w:rFonts w:ascii="Bookman Old Style" w:hAnsi="Bookman Old Style" w:cs="Segoe UI"/>
            <w:u w:val="none"/>
          </w:rPr>
          <w:t>https://doi.org/10.21744/lingcure.v5nS1.1723</w:t>
        </w:r>
      </w:hyperlink>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Simon, H. A. (1955). A behavioral model of rational choice. </w:t>
      </w:r>
      <w:r w:rsidRPr="00C90272">
        <w:rPr>
          <w:rFonts w:ascii="Bookman Old Style" w:hAnsi="Bookman Old Style" w:cs="Arial"/>
          <w:i/>
          <w:iCs/>
          <w:color w:val="222222"/>
          <w:sz w:val="20"/>
          <w:szCs w:val="20"/>
          <w:shd w:val="clear" w:color="auto" w:fill="FFFFFF"/>
        </w:rPr>
        <w:t>The quarterly journal of economics</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69</w:t>
      </w:r>
      <w:r w:rsidRPr="00C90272">
        <w:rPr>
          <w:rFonts w:ascii="Bookman Old Style" w:hAnsi="Bookman Old Style" w:cs="Arial"/>
          <w:color w:val="222222"/>
          <w:sz w:val="20"/>
          <w:szCs w:val="20"/>
          <w:shd w:val="clear" w:color="auto" w:fill="FFFFFF"/>
        </w:rPr>
        <w:t>(1), 99-118.</w:t>
      </w:r>
    </w:p>
    <w:p w:rsidR="00C90272" w:rsidRPr="00C90272" w:rsidRDefault="00C90272" w:rsidP="00C90272">
      <w:pPr>
        <w:ind w:left="284" w:hanging="284"/>
        <w:jc w:val="both"/>
        <w:rPr>
          <w:rFonts w:ascii="Bookman Old Style" w:hAnsi="Bookman Old Style" w:cs="Segoe UI"/>
          <w:color w:val="212529"/>
        </w:rPr>
      </w:pPr>
      <w:r w:rsidRPr="00C90272">
        <w:rPr>
          <w:rFonts w:ascii="Bookman Old Style" w:hAnsi="Bookman Old Style" w:cs="Segoe UI"/>
          <w:color w:val="212529"/>
        </w:rPr>
        <w:lastRenderedPageBreak/>
        <w:t>Sugosha, M. J., &amp; Artini, L. G. S. (2020). The role of profitability in mediating company ownership structure and size of firm value in the pharmaceutical industry on the Indonesia stock exchange. </w:t>
      </w:r>
      <w:r w:rsidRPr="00C90272">
        <w:rPr>
          <w:rFonts w:ascii="Bookman Old Style" w:hAnsi="Bookman Old Style" w:cs="Segoe UI"/>
          <w:i/>
          <w:iCs/>
          <w:color w:val="212529"/>
        </w:rPr>
        <w:t>International Research Journal of Management, IT and Social Sciences</w:t>
      </w:r>
      <w:r w:rsidRPr="00C90272">
        <w:rPr>
          <w:rFonts w:ascii="Bookman Old Style" w:hAnsi="Bookman Old Style" w:cs="Segoe UI"/>
          <w:color w:val="212529"/>
        </w:rPr>
        <w:t>, </w:t>
      </w:r>
      <w:r w:rsidRPr="00C90272">
        <w:rPr>
          <w:rFonts w:ascii="Bookman Old Style" w:hAnsi="Bookman Old Style" w:cs="Segoe UI"/>
          <w:i/>
          <w:iCs/>
          <w:color w:val="212529"/>
        </w:rPr>
        <w:t>7</w:t>
      </w:r>
      <w:r w:rsidRPr="00C90272">
        <w:rPr>
          <w:rFonts w:ascii="Bookman Old Style" w:hAnsi="Bookman Old Style" w:cs="Segoe UI"/>
          <w:color w:val="212529"/>
        </w:rPr>
        <w:t xml:space="preserve">(1), 104-115. </w:t>
      </w:r>
      <w:hyperlink r:id="rId19" w:history="1">
        <w:r w:rsidRPr="00C90272">
          <w:rPr>
            <w:rStyle w:val="Hyperlink"/>
            <w:rFonts w:ascii="Bookman Old Style" w:hAnsi="Bookman Old Style" w:cs="Segoe UI"/>
            <w:u w:val="none"/>
          </w:rPr>
          <w:t>https://doi.org/10.21744/irjmis.v7n1.827</w:t>
        </w:r>
      </w:hyperlink>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Tjahjadi, B., Soewarno, N., &amp; Mustikaningtiyas, F. (2021). Good corporate governance and corporate sustainability performance in Indonesia: A triple bottom line approach. </w:t>
      </w:r>
      <w:r w:rsidRPr="00C90272">
        <w:rPr>
          <w:rFonts w:ascii="Bookman Old Style" w:hAnsi="Bookman Old Style" w:cs="Arial"/>
          <w:i/>
          <w:iCs/>
          <w:color w:val="222222"/>
          <w:sz w:val="20"/>
          <w:szCs w:val="20"/>
          <w:shd w:val="clear" w:color="auto" w:fill="FFFFFF"/>
        </w:rPr>
        <w:t>Heliyon</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7</w:t>
      </w:r>
      <w:r w:rsidRPr="00C90272">
        <w:rPr>
          <w:rFonts w:ascii="Bookman Old Style" w:hAnsi="Bookman Old Style" w:cs="Arial"/>
          <w:color w:val="222222"/>
          <w:sz w:val="20"/>
          <w:szCs w:val="20"/>
          <w:shd w:val="clear" w:color="auto" w:fill="FFFFFF"/>
        </w:rPr>
        <w:t>(3), e06453.</w:t>
      </w:r>
      <w:r w:rsidRPr="00C90272">
        <w:rPr>
          <w:rFonts w:ascii="Bookman Old Style" w:hAnsi="Bookman Old Style"/>
          <w:sz w:val="20"/>
          <w:szCs w:val="20"/>
        </w:rPr>
        <w:t xml:space="preserve"> </w:t>
      </w:r>
      <w:hyperlink r:id="rId20" w:history="1">
        <w:r w:rsidRPr="00C90272">
          <w:rPr>
            <w:rStyle w:val="Hyperlink"/>
            <w:rFonts w:ascii="Bookman Old Style" w:hAnsi="Bookman Old Style" w:cs="Arial"/>
            <w:sz w:val="20"/>
            <w:szCs w:val="20"/>
            <w:u w:val="none"/>
            <w:shd w:val="clear" w:color="auto" w:fill="FFFFFF"/>
          </w:rPr>
          <w:t>https://doi.org/10.1016/j.heliyon.2021.e06453</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Viswanathan, L., &amp; Maheswaran, S. (2019). Back to normal? A study of the behaviour of volatility in the Indian stock market. </w:t>
      </w:r>
      <w:r w:rsidRPr="00C90272">
        <w:rPr>
          <w:rFonts w:ascii="Bookman Old Style" w:hAnsi="Bookman Old Style" w:cs="Arial"/>
          <w:i/>
          <w:iCs/>
          <w:color w:val="222222"/>
          <w:sz w:val="20"/>
          <w:szCs w:val="20"/>
          <w:shd w:val="clear" w:color="auto" w:fill="FFFFFF"/>
        </w:rPr>
        <w:t>IIMB Management Review</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31</w:t>
      </w:r>
      <w:r w:rsidRPr="00C90272">
        <w:rPr>
          <w:rFonts w:ascii="Bookman Old Style" w:hAnsi="Bookman Old Style" w:cs="Arial"/>
          <w:color w:val="222222"/>
          <w:sz w:val="20"/>
          <w:szCs w:val="20"/>
          <w:shd w:val="clear" w:color="auto" w:fill="FFFFFF"/>
        </w:rPr>
        <w:t>(1), 63-70.</w:t>
      </w:r>
      <w:r w:rsidRPr="00C90272">
        <w:rPr>
          <w:rFonts w:ascii="Bookman Old Style" w:hAnsi="Bookman Old Style"/>
          <w:sz w:val="20"/>
          <w:szCs w:val="20"/>
        </w:rPr>
        <w:t xml:space="preserve"> </w:t>
      </w:r>
      <w:hyperlink r:id="rId21" w:history="1">
        <w:r w:rsidRPr="00C90272">
          <w:rPr>
            <w:rStyle w:val="Hyperlink"/>
            <w:rFonts w:ascii="Bookman Old Style" w:hAnsi="Bookman Old Style" w:cs="Arial"/>
            <w:sz w:val="20"/>
            <w:szCs w:val="20"/>
            <w:u w:val="none"/>
            <w:shd w:val="clear" w:color="auto" w:fill="FFFFFF"/>
          </w:rPr>
          <w:t>https://doi.org/10.1016/j.iimb.2018.08.005</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Wong, G. (2008). Has SARS infected the property market? Evidence from Hong Kong. </w:t>
      </w:r>
      <w:r w:rsidRPr="00C90272">
        <w:rPr>
          <w:rFonts w:ascii="Bookman Old Style" w:hAnsi="Bookman Old Style" w:cs="Arial"/>
          <w:i/>
          <w:iCs/>
          <w:color w:val="222222"/>
          <w:sz w:val="20"/>
          <w:szCs w:val="20"/>
          <w:shd w:val="clear" w:color="auto" w:fill="FFFFFF"/>
        </w:rPr>
        <w:t>Journal of Urban Economics</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63</w:t>
      </w:r>
      <w:r w:rsidRPr="00C90272">
        <w:rPr>
          <w:rFonts w:ascii="Bookman Old Style" w:hAnsi="Bookman Old Style" w:cs="Arial"/>
          <w:color w:val="222222"/>
          <w:sz w:val="20"/>
          <w:szCs w:val="20"/>
          <w:shd w:val="clear" w:color="auto" w:fill="FFFFFF"/>
        </w:rPr>
        <w:t>(1), 74-95.</w:t>
      </w:r>
      <w:r w:rsidRPr="00C90272">
        <w:rPr>
          <w:rFonts w:ascii="Bookman Old Style" w:hAnsi="Bookman Old Style"/>
          <w:sz w:val="20"/>
          <w:szCs w:val="20"/>
        </w:rPr>
        <w:t xml:space="preserve"> </w:t>
      </w:r>
      <w:hyperlink r:id="rId22" w:history="1">
        <w:r w:rsidRPr="00C90272">
          <w:rPr>
            <w:rStyle w:val="Hyperlink"/>
            <w:rFonts w:ascii="Bookman Old Style" w:hAnsi="Bookman Old Style" w:cs="Arial"/>
            <w:sz w:val="20"/>
            <w:szCs w:val="20"/>
            <w:u w:val="none"/>
            <w:shd w:val="clear" w:color="auto" w:fill="FFFFFF"/>
          </w:rPr>
          <w:t>https://doi.org/10.1016/j.jue.2006.12.007</w:t>
        </w:r>
      </w:hyperlink>
      <w:r w:rsidRPr="00C90272">
        <w:rPr>
          <w:rFonts w:ascii="Bookman Old Style" w:hAnsi="Bookman Old Style" w:cs="Arial"/>
          <w:color w:val="222222"/>
          <w:sz w:val="20"/>
          <w:szCs w:val="20"/>
          <w:shd w:val="clear" w:color="auto" w:fill="FFFFFF"/>
        </w:rPr>
        <w:t xml:space="preserve"> </w:t>
      </w:r>
    </w:p>
    <w:p w:rsidR="00C90272" w:rsidRPr="00C90272" w:rsidRDefault="00C90272" w:rsidP="00832382">
      <w:pPr>
        <w:pStyle w:val="EndNoteBibliography"/>
        <w:spacing w:after="0"/>
        <w:ind w:left="284" w:hanging="284"/>
        <w:rPr>
          <w:rFonts w:ascii="Bookman Old Style" w:hAnsi="Bookman Old Style" w:cs="Arial"/>
          <w:color w:val="222222"/>
          <w:sz w:val="20"/>
          <w:szCs w:val="20"/>
          <w:shd w:val="clear" w:color="auto" w:fill="FFFFFF"/>
        </w:rPr>
      </w:pPr>
      <w:r w:rsidRPr="00C90272">
        <w:rPr>
          <w:rFonts w:ascii="Bookman Old Style" w:hAnsi="Bookman Old Style" w:cs="Arial"/>
          <w:color w:val="222222"/>
          <w:sz w:val="20"/>
          <w:szCs w:val="20"/>
          <w:shd w:val="clear" w:color="auto" w:fill="FFFFFF"/>
        </w:rPr>
        <w:t>Zhu, J., Ye, K., Tucker, J. W., &amp; Chan, K. J. C. (2016). Board hierarchy, independent directors, and firm value: Evidence from China. </w:t>
      </w:r>
      <w:r w:rsidRPr="00C90272">
        <w:rPr>
          <w:rFonts w:ascii="Bookman Old Style" w:hAnsi="Bookman Old Style" w:cs="Arial"/>
          <w:i/>
          <w:iCs/>
          <w:color w:val="222222"/>
          <w:sz w:val="20"/>
          <w:szCs w:val="20"/>
          <w:shd w:val="clear" w:color="auto" w:fill="FFFFFF"/>
        </w:rPr>
        <w:t>Journal of Corporate Finance</w:t>
      </w:r>
      <w:r w:rsidRPr="00C90272">
        <w:rPr>
          <w:rFonts w:ascii="Bookman Old Style" w:hAnsi="Bookman Old Style" w:cs="Arial"/>
          <w:color w:val="222222"/>
          <w:sz w:val="20"/>
          <w:szCs w:val="20"/>
          <w:shd w:val="clear" w:color="auto" w:fill="FFFFFF"/>
        </w:rPr>
        <w:t>, </w:t>
      </w:r>
      <w:r w:rsidRPr="00C90272">
        <w:rPr>
          <w:rFonts w:ascii="Bookman Old Style" w:hAnsi="Bookman Old Style" w:cs="Arial"/>
          <w:i/>
          <w:iCs/>
          <w:color w:val="222222"/>
          <w:sz w:val="20"/>
          <w:szCs w:val="20"/>
          <w:shd w:val="clear" w:color="auto" w:fill="FFFFFF"/>
        </w:rPr>
        <w:t>41</w:t>
      </w:r>
      <w:r w:rsidRPr="00C90272">
        <w:rPr>
          <w:rFonts w:ascii="Bookman Old Style" w:hAnsi="Bookman Old Style" w:cs="Arial"/>
          <w:color w:val="222222"/>
          <w:sz w:val="20"/>
          <w:szCs w:val="20"/>
          <w:shd w:val="clear" w:color="auto" w:fill="FFFFFF"/>
        </w:rPr>
        <w:t>, 262-279.</w:t>
      </w:r>
      <w:r w:rsidRPr="00C90272">
        <w:rPr>
          <w:rFonts w:ascii="Bookman Old Style" w:hAnsi="Bookman Old Style"/>
          <w:sz w:val="20"/>
          <w:szCs w:val="20"/>
        </w:rPr>
        <w:t xml:space="preserve"> </w:t>
      </w:r>
      <w:hyperlink r:id="rId23" w:history="1">
        <w:r w:rsidRPr="00C90272">
          <w:rPr>
            <w:rStyle w:val="Hyperlink"/>
            <w:rFonts w:ascii="Bookman Old Style" w:hAnsi="Bookman Old Style" w:cs="Arial"/>
            <w:sz w:val="20"/>
            <w:szCs w:val="20"/>
            <w:u w:val="none"/>
            <w:shd w:val="clear" w:color="auto" w:fill="FFFFFF"/>
          </w:rPr>
          <w:t>https://doi.org/10.1016/j.jcorpfin.2016.09.009</w:t>
        </w:r>
      </w:hyperlink>
      <w:r w:rsidRPr="00C90272">
        <w:rPr>
          <w:rFonts w:ascii="Bookman Old Style" w:hAnsi="Bookman Old Style" w:cs="Arial"/>
          <w:color w:val="222222"/>
          <w:sz w:val="20"/>
          <w:szCs w:val="20"/>
          <w:shd w:val="clear" w:color="auto" w:fill="FFFFFF"/>
        </w:rPr>
        <w:t xml:space="preserve"> </w:t>
      </w:r>
    </w:p>
    <w:p w:rsidR="00832382" w:rsidRPr="00C90272" w:rsidRDefault="00832382" w:rsidP="00832382">
      <w:pPr>
        <w:pStyle w:val="EndNoteBibliography"/>
        <w:spacing w:after="0"/>
        <w:ind w:left="284" w:hanging="284"/>
        <w:rPr>
          <w:rFonts w:ascii="Bookman Old Style" w:hAnsi="Bookman Old Style" w:cs="Arial"/>
          <w:color w:val="222222"/>
          <w:sz w:val="20"/>
          <w:szCs w:val="20"/>
          <w:shd w:val="clear" w:color="auto" w:fill="FFFFFF"/>
        </w:rPr>
      </w:pPr>
    </w:p>
    <w:sectPr w:rsidR="00832382" w:rsidRPr="00C90272" w:rsidSect="0025292C">
      <w:headerReference w:type="even" r:id="rId24"/>
      <w:headerReference w:type="default" r:id="rId25"/>
      <w:headerReference w:type="first" r:id="rId26"/>
      <w:footerReference w:type="first" r:id="rId27"/>
      <w:footnotePr>
        <w:numFmt w:val="chicago"/>
      </w:footnotePr>
      <w:pgSz w:w="10892" w:h="14861" w:code="1"/>
      <w:pgMar w:top="1418" w:right="1418" w:bottom="1418" w:left="1418" w:header="1134" w:footer="1134" w:gutter="0"/>
      <w:pgNumType w:start="87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98C" w:rsidRDefault="0046498C">
      <w:r>
        <w:separator/>
      </w:r>
    </w:p>
  </w:endnote>
  <w:endnote w:type="continuationSeparator" w:id="0">
    <w:p w:rsidR="0046498C" w:rsidRDefault="00464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Palatino">
    <w:altName w:val="Book Antiqua"/>
    <w:panose1 w:val="00000000000000000000"/>
    <w:charset w:val="4D"/>
    <w:family w:val="auto"/>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Rockwell">
    <w:panose1 w:val="020606030202050204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B55" w:rsidRDefault="0046498C" w:rsidP="004E02A1">
    <w:pPr>
      <w:pStyle w:val="Header"/>
      <w:ind w:right="51"/>
      <w:rPr>
        <w:rFonts w:ascii="Bookman Old Style" w:hAnsi="Bookman Old Style"/>
        <w:sz w:val="16"/>
        <w:szCs w:val="16"/>
      </w:rPr>
    </w:pPr>
    <w:r>
      <w:rPr>
        <w:rFonts w:ascii="Bookman Old Style" w:hAnsi="Bookman Old Style"/>
        <w:i/>
        <w:noProof/>
        <w:sz w:val="16"/>
        <w:szCs w:val="16"/>
      </w:rPr>
      <w:pict>
        <v:shape id="Shape 44" o:spid="_x0000_s2049" style="position:absolute;margin-left:.7pt;margin-top:-.6pt;width:402.15pt;height:3.55pt;z-index:251658240;visibility:visible;mso-wrap-style:square;mso-wrap-distance-left:9pt;mso-wrap-distance-top:0;mso-wrap-distance-right:9pt;mso-wrap-distance-bottom:0;mso-position-horizontal-relative:text;mso-position-vertical-relative:text;v-text-anchor:top" coordsize="57695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" adj="0,,0" path="m,l5769559,e" filled="f" strokeweight=".08783mm">
          <v:stroke miterlimit="83231f" joinstyle="miter"/>
          <v:formulas/>
          <v:path arrowok="t" o:connecttype="segments" textboxrect="0,0,5769559,0"/>
        </v:shape>
      </w:pict>
    </w:r>
  </w:p>
  <w:p w:rsidR="00D06E9D" w:rsidRPr="00967961" w:rsidRDefault="004E02A1" w:rsidP="004E02A1">
    <w:pPr>
      <w:pStyle w:val="Header"/>
      <w:ind w:right="51"/>
      <w:rPr>
        <w:rFonts w:ascii="Rockwell" w:hAnsi="Rockwell"/>
        <w:sz w:val="16"/>
        <w:szCs w:val="16"/>
      </w:rPr>
    </w:pPr>
    <w:r w:rsidRPr="00967961">
      <w:rPr>
        <w:rFonts w:ascii="Rockwell" w:hAnsi="Rockwell"/>
        <w:sz w:val="16"/>
        <w:szCs w:val="16"/>
      </w:rPr>
      <w:t xml:space="preserve">Linguistics and Culture Review © </w:t>
    </w:r>
    <w:r w:rsidR="006A21E8">
      <w:rPr>
        <w:rFonts w:ascii="Rockwell" w:hAnsi="Rockwell"/>
        <w:sz w:val="16"/>
        <w:szCs w:val="16"/>
      </w:rPr>
      <w:t>2021</w:t>
    </w:r>
    <w:r w:rsidRPr="00967961">
      <w:rPr>
        <w:rFonts w:ascii="Rockwell" w:hAnsi="Rockwell"/>
        <w:sz w:val="16"/>
        <w:szCs w:val="16"/>
      </w:rPr>
      <w:t>.</w:t>
    </w:r>
  </w:p>
  <w:p w:rsidR="00521FAA" w:rsidRPr="00967961" w:rsidRDefault="007F117C" w:rsidP="007F117C">
    <w:pPr>
      <w:rPr>
        <w:rFonts w:ascii="Rockwell" w:hAnsi="Rockwell"/>
        <w:i/>
        <w:sz w:val="16"/>
        <w:szCs w:val="16"/>
      </w:rPr>
    </w:pPr>
    <w:r w:rsidRPr="00967961">
      <w:rPr>
        <w:rFonts w:ascii="Rockwell" w:hAnsi="Rockwell"/>
        <w:b/>
        <w:i/>
        <w:sz w:val="16"/>
        <w:szCs w:val="16"/>
      </w:rPr>
      <w:t>Corresponding author</w:t>
    </w:r>
    <w:r w:rsidRPr="00967961">
      <w:rPr>
        <w:rFonts w:ascii="Rockwell" w:hAnsi="Rockwell"/>
        <w:i/>
        <w:sz w:val="16"/>
        <w:szCs w:val="16"/>
      </w:rPr>
      <w:t>:</w:t>
    </w:r>
    <w:r w:rsidR="000A739D" w:rsidRPr="00967961">
      <w:rPr>
        <w:rFonts w:ascii="Rockwell" w:hAnsi="Rockwell"/>
        <w:i/>
        <w:sz w:val="16"/>
        <w:szCs w:val="16"/>
      </w:rPr>
      <w:t xml:space="preserve"> </w:t>
    </w:r>
    <w:r w:rsidR="00193E6A" w:rsidRPr="00193E6A">
      <w:rPr>
        <w:rFonts w:ascii="Rockwell" w:hAnsi="Rockwell"/>
        <w:i/>
        <w:sz w:val="16"/>
        <w:szCs w:val="16"/>
      </w:rPr>
      <w:t>Satrio, A. B.</w:t>
    </w:r>
    <w:r w:rsidR="000A739D" w:rsidRPr="00967961">
      <w:rPr>
        <w:rFonts w:ascii="Rockwell" w:hAnsi="Rockwell"/>
        <w:i/>
        <w:sz w:val="16"/>
        <w:szCs w:val="16"/>
      </w:rPr>
      <w:t>;</w:t>
    </w:r>
    <w:r w:rsidR="00914133" w:rsidRPr="00967961">
      <w:rPr>
        <w:rFonts w:ascii="Rockwell" w:hAnsi="Rockwell"/>
        <w:i/>
        <w:sz w:val="16"/>
        <w:szCs w:val="16"/>
      </w:rPr>
      <w:t xml:space="preserve"> Email:</w:t>
    </w:r>
    <w:r w:rsidR="000A739D" w:rsidRPr="00967961">
      <w:rPr>
        <w:rFonts w:ascii="Rockwell" w:hAnsi="Rockwell"/>
        <w:i/>
        <w:sz w:val="16"/>
        <w:szCs w:val="16"/>
      </w:rPr>
      <w:t xml:space="preserve"> </w:t>
    </w:r>
    <w:hyperlink r:id="rId1" w:history="1">
      <w:r w:rsidR="00193E6A" w:rsidRPr="00193E6A">
        <w:rPr>
          <w:rStyle w:val="Hyperlink"/>
          <w:rFonts w:ascii="Rockwell" w:hAnsi="Rockwell"/>
          <w:i/>
          <w:u w:val="none"/>
        </w:rPr>
        <w:t>arif@widyadharma.ac.id</w:t>
      </w:r>
    </w:hyperlink>
    <w:r w:rsidR="00193E6A" w:rsidRPr="00193E6A">
      <w:rPr>
        <w:rFonts w:ascii="Rockwell" w:hAnsi="Rockwell"/>
        <w:i/>
      </w:rPr>
      <w:t xml:space="preserve"> </w:t>
    </w:r>
    <w:r w:rsidR="000A739D" w:rsidRPr="00193E6A">
      <w:rPr>
        <w:rFonts w:ascii="Rockwell" w:hAnsi="Rockwell"/>
        <w:i/>
        <w:sz w:val="16"/>
        <w:szCs w:val="16"/>
      </w:rPr>
      <w:t xml:space="preserve"> </w:t>
    </w:r>
    <w:r w:rsidR="00521FAA" w:rsidRPr="00967961">
      <w:rPr>
        <w:rFonts w:ascii="Rockwell" w:hAnsi="Rockwell"/>
        <w:i/>
        <w:sz w:val="16"/>
        <w:szCs w:val="16"/>
      </w:rPr>
      <w:tab/>
    </w:r>
    <w:r w:rsidR="00521FAA" w:rsidRPr="00967961">
      <w:rPr>
        <w:rFonts w:ascii="Rockwell" w:hAnsi="Rockwell"/>
        <w:i/>
        <w:sz w:val="16"/>
        <w:szCs w:val="16"/>
      </w:rPr>
      <w:tab/>
    </w:r>
  </w:p>
  <w:p w:rsidR="0019296A" w:rsidRPr="00967961" w:rsidRDefault="00797D58" w:rsidP="0019296A">
    <w:pPr>
      <w:pStyle w:val="Footer"/>
      <w:rPr>
        <w:rFonts w:ascii="Rockwell" w:hAnsi="Rockwell"/>
        <w:i/>
        <w:sz w:val="16"/>
        <w:szCs w:val="16"/>
      </w:rPr>
    </w:pPr>
    <w:r>
      <w:rPr>
        <w:rFonts w:ascii="Rockwell" w:hAnsi="Rockwell"/>
        <w:i/>
        <w:sz w:val="16"/>
        <w:szCs w:val="16"/>
      </w:rPr>
      <w:t>Manuscript submitted: 27 July 2021</w:t>
    </w:r>
    <w:r w:rsidRPr="00967961">
      <w:rPr>
        <w:rFonts w:ascii="Rockwell" w:hAnsi="Rockwell"/>
        <w:i/>
        <w:sz w:val="16"/>
        <w:szCs w:val="16"/>
      </w:rPr>
      <w:t>, Manuscript revised:</w:t>
    </w:r>
    <w:r>
      <w:rPr>
        <w:rFonts w:ascii="Rockwell" w:hAnsi="Rockwell"/>
        <w:i/>
        <w:sz w:val="16"/>
        <w:szCs w:val="16"/>
      </w:rPr>
      <w:t xml:space="preserve"> 18 Oct 2021, Accepted for publication: 09 Nov 2021</w:t>
    </w:r>
  </w:p>
  <w:p w:rsidR="00111543" w:rsidRDefault="0025292C" w:rsidP="00BB7AF0">
    <w:pPr>
      <w:pStyle w:val="Footer"/>
      <w:jc w:val="right"/>
    </w:pPr>
    <w:r>
      <w:t>873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98C" w:rsidRDefault="0046498C">
      <w:r>
        <w:separator/>
      </w:r>
    </w:p>
  </w:footnote>
  <w:footnote w:type="continuationSeparator" w:id="0">
    <w:p w:rsidR="0046498C" w:rsidRDefault="004649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543" w:rsidRPr="003D5B84" w:rsidRDefault="004B560E" w:rsidP="008B04B3">
    <w:pPr>
      <w:pStyle w:val="Header"/>
      <w:framePr w:wrap="around" w:vAnchor="text" w:hAnchor="margin" w:xAlign="outside" w:y="1"/>
      <w:rPr>
        <w:rStyle w:val="PageNumber"/>
      </w:rPr>
    </w:pPr>
    <w:r w:rsidRPr="003D5B84">
      <w:rPr>
        <w:rStyle w:val="PageNumber"/>
      </w:rPr>
      <w:fldChar w:fldCharType="begin"/>
    </w:r>
    <w:r w:rsidR="00111543" w:rsidRPr="003D5B84">
      <w:rPr>
        <w:rStyle w:val="PageNumber"/>
      </w:rPr>
      <w:instrText xml:space="preserve">PAGE  </w:instrText>
    </w:r>
    <w:r w:rsidRPr="003D5B84">
      <w:rPr>
        <w:rStyle w:val="PageNumber"/>
      </w:rPr>
      <w:fldChar w:fldCharType="separate"/>
    </w:r>
    <w:r w:rsidR="009B34D9">
      <w:rPr>
        <w:rStyle w:val="PageNumber"/>
        <w:noProof/>
      </w:rPr>
      <w:t>880</w:t>
    </w:r>
    <w:r w:rsidRPr="003D5B84">
      <w:rPr>
        <w:rStyle w:val="PageNumber"/>
      </w:rPr>
      <w:fldChar w:fldCharType="end"/>
    </w:r>
  </w:p>
  <w:p w:rsidR="000A54FE" w:rsidRDefault="005561EF" w:rsidP="003876F6">
    <w:pPr>
      <w:pStyle w:val="Header"/>
      <w:tabs>
        <w:tab w:val="clear" w:pos="4320"/>
        <w:tab w:val="clear" w:pos="8640"/>
        <w:tab w:val="right" w:pos="851"/>
        <w:tab w:val="left" w:pos="3405"/>
        <w:tab w:val="right" w:pos="9356"/>
      </w:tabs>
      <w:spacing w:after="240"/>
    </w:pPr>
    <w:r>
      <w:t xml:space="preserve">       </w:t>
    </w:r>
    <w:r w:rsidR="00111543" w:rsidRPr="003D5B84">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543" w:rsidRPr="003D5B84" w:rsidRDefault="004B560E" w:rsidP="00F173DD">
    <w:pPr>
      <w:pStyle w:val="Header"/>
      <w:framePr w:wrap="around" w:vAnchor="text" w:hAnchor="margin" w:xAlign="outside" w:y="1"/>
      <w:rPr>
        <w:rStyle w:val="PageNumber"/>
      </w:rPr>
    </w:pPr>
    <w:r w:rsidRPr="003D5B84">
      <w:rPr>
        <w:rStyle w:val="PageNumber"/>
      </w:rPr>
      <w:fldChar w:fldCharType="begin"/>
    </w:r>
    <w:r w:rsidR="00111543" w:rsidRPr="003D5B84">
      <w:rPr>
        <w:rStyle w:val="PageNumber"/>
      </w:rPr>
      <w:instrText xml:space="preserve">PAGE  </w:instrText>
    </w:r>
    <w:r w:rsidRPr="003D5B84">
      <w:rPr>
        <w:rStyle w:val="PageNumber"/>
      </w:rPr>
      <w:fldChar w:fldCharType="separate"/>
    </w:r>
    <w:r w:rsidR="009B34D9">
      <w:rPr>
        <w:rStyle w:val="PageNumber"/>
        <w:noProof/>
      </w:rPr>
      <w:t>881</w:t>
    </w:r>
    <w:r w:rsidRPr="003D5B84">
      <w:rPr>
        <w:rStyle w:val="PageNumber"/>
      </w:rPr>
      <w:fldChar w:fldCharType="end"/>
    </w:r>
  </w:p>
  <w:p w:rsidR="000A54FE" w:rsidRDefault="000A54FE"/>
  <w:p w:rsidR="000A54FE" w:rsidRDefault="000A54F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DBA" w:rsidRPr="00967961" w:rsidRDefault="00AA4DBA" w:rsidP="00AA4DBA">
    <w:pPr>
      <w:pStyle w:val="Header"/>
      <w:ind w:right="51"/>
      <w:rPr>
        <w:rFonts w:ascii="Rockwell" w:hAnsi="Rockwell"/>
        <w:sz w:val="16"/>
        <w:szCs w:val="16"/>
      </w:rPr>
    </w:pPr>
    <w:r w:rsidRPr="002255E8">
      <w:rPr>
        <w:rFonts w:ascii="Rockwell" w:hAnsi="Rockwell"/>
        <w:b/>
        <w:sz w:val="16"/>
        <w:szCs w:val="16"/>
      </w:rPr>
      <w:t>How to Cite</w:t>
    </w:r>
    <w:r w:rsidRPr="00967961">
      <w:rPr>
        <w:rFonts w:ascii="Rockwell" w:hAnsi="Rockwell"/>
        <w:sz w:val="16"/>
        <w:szCs w:val="16"/>
      </w:rPr>
      <w:t>:</w:t>
    </w:r>
  </w:p>
  <w:p w:rsidR="00AA4DBA" w:rsidRPr="009B34D9" w:rsidRDefault="009B34D9" w:rsidP="00AA4DBA">
    <w:pPr>
      <w:pStyle w:val="Header"/>
      <w:ind w:right="51"/>
      <w:rPr>
        <w:rFonts w:ascii="Bookman Old Style" w:hAnsi="Bookman Old Style"/>
        <w:sz w:val="18"/>
        <w:szCs w:val="18"/>
      </w:rPr>
    </w:pPr>
    <w:r w:rsidRPr="009B34D9">
      <w:rPr>
        <w:rFonts w:ascii="Bookman Old Style" w:hAnsi="Bookman Old Style" w:cs="Segoe UI"/>
        <w:color w:val="212529"/>
        <w:sz w:val="18"/>
        <w:szCs w:val="18"/>
      </w:rPr>
      <w:t>Satrio, A. B., &amp; Kontesa, M. (2021). Firm supervisory board during pandemic: Are they still trusted?. </w:t>
    </w:r>
    <w:r w:rsidRPr="009B34D9">
      <w:rPr>
        <w:rFonts w:ascii="Bookman Old Style" w:hAnsi="Bookman Old Style" w:cs="Segoe UI"/>
        <w:i/>
        <w:iCs/>
        <w:color w:val="212529"/>
        <w:sz w:val="18"/>
        <w:szCs w:val="18"/>
      </w:rPr>
      <w:t>Linguistics and Culture Review</w:t>
    </w:r>
    <w:r w:rsidRPr="009B34D9">
      <w:rPr>
        <w:rFonts w:ascii="Bookman Old Style" w:hAnsi="Bookman Old Style" w:cs="Segoe UI"/>
        <w:color w:val="212529"/>
        <w:sz w:val="18"/>
        <w:szCs w:val="18"/>
      </w:rPr>
      <w:t>, </w:t>
    </w:r>
    <w:r w:rsidRPr="009B34D9">
      <w:rPr>
        <w:rFonts w:ascii="Bookman Old Style" w:hAnsi="Bookman Old Style" w:cs="Segoe UI"/>
        <w:i/>
        <w:iCs/>
        <w:color w:val="212529"/>
        <w:sz w:val="18"/>
        <w:szCs w:val="18"/>
      </w:rPr>
      <w:t>5</w:t>
    </w:r>
    <w:r w:rsidRPr="009B34D9">
      <w:rPr>
        <w:rFonts w:ascii="Bookman Old Style" w:hAnsi="Bookman Old Style" w:cs="Segoe UI"/>
        <w:color w:val="212529"/>
        <w:sz w:val="18"/>
        <w:szCs w:val="18"/>
      </w:rPr>
      <w:t xml:space="preserve">(S3), 873-881. </w:t>
    </w:r>
    <w:hyperlink r:id="rId1" w:history="1">
      <w:r w:rsidRPr="009B34D9">
        <w:rPr>
          <w:rStyle w:val="Hyperlink"/>
          <w:rFonts w:ascii="Bookman Old Style" w:hAnsi="Bookman Old Style" w:cs="Segoe UI"/>
          <w:sz w:val="18"/>
          <w:szCs w:val="18"/>
          <w:u w:val="none"/>
        </w:rPr>
        <w:t>https://doi.org/10.21744/lingcure.v5nS3.1729</w:t>
      </w:r>
    </w:hyperlink>
    <w:r w:rsidRPr="009B34D9">
      <w:rPr>
        <w:rFonts w:ascii="Bookman Old Style" w:hAnsi="Bookman Old Style" w:cs="Segoe UI"/>
        <w:color w:val="212529"/>
        <w:sz w:val="18"/>
        <w:szCs w:val="18"/>
      </w:rPr>
      <w:t xml:space="preserve"> </w:t>
    </w:r>
  </w:p>
  <w:p w:rsidR="00BD323B" w:rsidRPr="00632C36" w:rsidRDefault="00BD323B" w:rsidP="00AA4DBA">
    <w:pPr>
      <w:pStyle w:val="Header"/>
      <w:ind w:right="51"/>
      <w:rPr>
        <w:rFonts w:ascii="Bookman Old Style" w:hAnsi="Bookman Old Style"/>
      </w:rPr>
    </w:pPr>
  </w:p>
  <w:p w:rsidR="00FD7CBA" w:rsidRPr="00632C36" w:rsidRDefault="00FD7CBA" w:rsidP="00AA4DBA">
    <w:pPr>
      <w:pStyle w:val="Header"/>
      <w:ind w:right="51"/>
      <w:rPr>
        <w:rFonts w:ascii="Bookman Old Style" w:hAnsi="Bookman Old Sty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FD47A3C"/>
    <w:multiLevelType w:val="hybridMultilevel"/>
    <w:tmpl w:val="1758CBF0"/>
    <w:lvl w:ilvl="0" w:tplc="7F0A33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540748"/>
    <w:multiLevelType w:val="hybridMultilevel"/>
    <w:tmpl w:val="7AAA4C94"/>
    <w:lvl w:ilvl="0" w:tplc="27A8AE9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1">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5">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6">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num w:numId="1">
    <w:abstractNumId w:val="14"/>
  </w:num>
  <w:num w:numId="2">
    <w:abstractNumId w:val="10"/>
  </w:num>
  <w:num w:numId="3">
    <w:abstractNumId w:val="18"/>
  </w:num>
  <w:num w:numId="4">
    <w:abstractNumId w:val="9"/>
  </w:num>
  <w:num w:numId="5">
    <w:abstractNumId w:val="12"/>
  </w:num>
  <w:num w:numId="6">
    <w:abstractNumId w:val="15"/>
  </w:num>
  <w:num w:numId="7">
    <w:abstractNumId w:val="13"/>
  </w:num>
  <w:num w:numId="8">
    <w:abstractNumId w:val="11"/>
  </w:num>
  <w:num w:numId="9">
    <w:abstractNumId w:val="6"/>
  </w:num>
  <w:num w:numId="10">
    <w:abstractNumId w:val="1"/>
  </w:num>
  <w:num w:numId="11">
    <w:abstractNumId w:val="0"/>
  </w:num>
  <w:num w:numId="12">
    <w:abstractNumId w:val="3"/>
  </w:num>
  <w:num w:numId="13">
    <w:abstractNumId w:val="2"/>
  </w:num>
  <w:num w:numId="14">
    <w:abstractNumId w:val="4"/>
  </w:num>
  <w:num w:numId="15">
    <w:abstractNumId w:val="17"/>
  </w:num>
  <w:num w:numId="16">
    <w:abstractNumId w:val="5"/>
  </w:num>
  <w:num w:numId="17">
    <w:abstractNumId w:val="16"/>
  </w:num>
  <w:num w:numId="18">
    <w:abstractNumId w:val="8"/>
  </w:num>
  <w:num w:numId="1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o:shapelayout v:ext="edit">
      <o:idmap v:ext="edit" data="2"/>
    </o:shapelayout>
  </w:hdrShapeDefaults>
  <w:footnotePr>
    <w:numFmt w:val="chicago"/>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trA0NTE3NTI2NrQwMzNX0lEKTi0uzszPAykwM6wFALuXFqotAAAA"/>
  </w:docVars>
  <w:rsids>
    <w:rsidRoot w:val="007D0AC6"/>
    <w:rsid w:val="000013CF"/>
    <w:rsid w:val="00002882"/>
    <w:rsid w:val="0000385F"/>
    <w:rsid w:val="00005EFC"/>
    <w:rsid w:val="00006142"/>
    <w:rsid w:val="00007744"/>
    <w:rsid w:val="000106D0"/>
    <w:rsid w:val="00012883"/>
    <w:rsid w:val="00012CEF"/>
    <w:rsid w:val="00014633"/>
    <w:rsid w:val="00015C26"/>
    <w:rsid w:val="00015F2A"/>
    <w:rsid w:val="00017858"/>
    <w:rsid w:val="00017CB1"/>
    <w:rsid w:val="00021949"/>
    <w:rsid w:val="00027142"/>
    <w:rsid w:val="000278FB"/>
    <w:rsid w:val="000279BE"/>
    <w:rsid w:val="00034200"/>
    <w:rsid w:val="00034C84"/>
    <w:rsid w:val="00037A68"/>
    <w:rsid w:val="000416A3"/>
    <w:rsid w:val="000437AE"/>
    <w:rsid w:val="000474E3"/>
    <w:rsid w:val="00047710"/>
    <w:rsid w:val="000523C5"/>
    <w:rsid w:val="00053FB7"/>
    <w:rsid w:val="0006020A"/>
    <w:rsid w:val="0006024B"/>
    <w:rsid w:val="00060330"/>
    <w:rsid w:val="00060F5C"/>
    <w:rsid w:val="0006115A"/>
    <w:rsid w:val="00061D77"/>
    <w:rsid w:val="00062720"/>
    <w:rsid w:val="00066063"/>
    <w:rsid w:val="00067BAA"/>
    <w:rsid w:val="0007154C"/>
    <w:rsid w:val="0007236F"/>
    <w:rsid w:val="00073635"/>
    <w:rsid w:val="00076433"/>
    <w:rsid w:val="00076C1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73CC"/>
    <w:rsid w:val="00097958"/>
    <w:rsid w:val="00097E2D"/>
    <w:rsid w:val="000A00A8"/>
    <w:rsid w:val="000A15DA"/>
    <w:rsid w:val="000A54FE"/>
    <w:rsid w:val="000A592D"/>
    <w:rsid w:val="000A643C"/>
    <w:rsid w:val="000A739D"/>
    <w:rsid w:val="000A7ACA"/>
    <w:rsid w:val="000B0641"/>
    <w:rsid w:val="000B2CDC"/>
    <w:rsid w:val="000B5480"/>
    <w:rsid w:val="000B682B"/>
    <w:rsid w:val="000C03DA"/>
    <w:rsid w:val="000C1942"/>
    <w:rsid w:val="000C4B17"/>
    <w:rsid w:val="000C6AC5"/>
    <w:rsid w:val="000C6C46"/>
    <w:rsid w:val="000C730A"/>
    <w:rsid w:val="000D099B"/>
    <w:rsid w:val="000D50C8"/>
    <w:rsid w:val="000D6591"/>
    <w:rsid w:val="000D6BC3"/>
    <w:rsid w:val="000E0AE1"/>
    <w:rsid w:val="000E0C84"/>
    <w:rsid w:val="000E0CE9"/>
    <w:rsid w:val="000E0E3C"/>
    <w:rsid w:val="000E1C9D"/>
    <w:rsid w:val="000E28E0"/>
    <w:rsid w:val="000E46C5"/>
    <w:rsid w:val="000E4FD6"/>
    <w:rsid w:val="000E708C"/>
    <w:rsid w:val="000E78A4"/>
    <w:rsid w:val="000F279B"/>
    <w:rsid w:val="000F27BF"/>
    <w:rsid w:val="000F29E1"/>
    <w:rsid w:val="000F48FE"/>
    <w:rsid w:val="000F61E2"/>
    <w:rsid w:val="000F7ED5"/>
    <w:rsid w:val="0010046E"/>
    <w:rsid w:val="00102A61"/>
    <w:rsid w:val="001041EB"/>
    <w:rsid w:val="00104BF1"/>
    <w:rsid w:val="00105140"/>
    <w:rsid w:val="00106F02"/>
    <w:rsid w:val="001078A8"/>
    <w:rsid w:val="00107904"/>
    <w:rsid w:val="00111543"/>
    <w:rsid w:val="001129DE"/>
    <w:rsid w:val="0011369D"/>
    <w:rsid w:val="00113F18"/>
    <w:rsid w:val="00114470"/>
    <w:rsid w:val="00114643"/>
    <w:rsid w:val="00117326"/>
    <w:rsid w:val="00117C85"/>
    <w:rsid w:val="00121C37"/>
    <w:rsid w:val="00122833"/>
    <w:rsid w:val="00125C41"/>
    <w:rsid w:val="00126B1A"/>
    <w:rsid w:val="0013179E"/>
    <w:rsid w:val="00131A6C"/>
    <w:rsid w:val="00131E4C"/>
    <w:rsid w:val="00133B59"/>
    <w:rsid w:val="00136716"/>
    <w:rsid w:val="00137465"/>
    <w:rsid w:val="00137E25"/>
    <w:rsid w:val="00137F36"/>
    <w:rsid w:val="001434C3"/>
    <w:rsid w:val="001441CB"/>
    <w:rsid w:val="00145453"/>
    <w:rsid w:val="0014611F"/>
    <w:rsid w:val="00146861"/>
    <w:rsid w:val="001478ED"/>
    <w:rsid w:val="001517E4"/>
    <w:rsid w:val="00151E7C"/>
    <w:rsid w:val="00153387"/>
    <w:rsid w:val="00154084"/>
    <w:rsid w:val="00154C55"/>
    <w:rsid w:val="00157C06"/>
    <w:rsid w:val="00161845"/>
    <w:rsid w:val="00162849"/>
    <w:rsid w:val="00165D0E"/>
    <w:rsid w:val="00166052"/>
    <w:rsid w:val="00166432"/>
    <w:rsid w:val="00167012"/>
    <w:rsid w:val="001671A8"/>
    <w:rsid w:val="0016761A"/>
    <w:rsid w:val="00167BE2"/>
    <w:rsid w:val="00171713"/>
    <w:rsid w:val="0017238E"/>
    <w:rsid w:val="00172E96"/>
    <w:rsid w:val="00177E2C"/>
    <w:rsid w:val="00180992"/>
    <w:rsid w:val="00180FD2"/>
    <w:rsid w:val="00180FD4"/>
    <w:rsid w:val="00181509"/>
    <w:rsid w:val="00181965"/>
    <w:rsid w:val="00185202"/>
    <w:rsid w:val="00185B55"/>
    <w:rsid w:val="00187B69"/>
    <w:rsid w:val="0019050C"/>
    <w:rsid w:val="0019296A"/>
    <w:rsid w:val="00192E8C"/>
    <w:rsid w:val="0019391D"/>
    <w:rsid w:val="00193E6A"/>
    <w:rsid w:val="001941BA"/>
    <w:rsid w:val="00195579"/>
    <w:rsid w:val="001964E7"/>
    <w:rsid w:val="001977EA"/>
    <w:rsid w:val="001A0839"/>
    <w:rsid w:val="001A33EF"/>
    <w:rsid w:val="001B2439"/>
    <w:rsid w:val="001B2EF9"/>
    <w:rsid w:val="001B4AB3"/>
    <w:rsid w:val="001B5250"/>
    <w:rsid w:val="001B5719"/>
    <w:rsid w:val="001B621C"/>
    <w:rsid w:val="001B64D0"/>
    <w:rsid w:val="001B7915"/>
    <w:rsid w:val="001C0FE6"/>
    <w:rsid w:val="001C15D0"/>
    <w:rsid w:val="001C19EB"/>
    <w:rsid w:val="001C1DDC"/>
    <w:rsid w:val="001C2ADF"/>
    <w:rsid w:val="001C3A05"/>
    <w:rsid w:val="001C6EE0"/>
    <w:rsid w:val="001C7AC5"/>
    <w:rsid w:val="001D04CA"/>
    <w:rsid w:val="001D0CB2"/>
    <w:rsid w:val="001D128B"/>
    <w:rsid w:val="001D19C3"/>
    <w:rsid w:val="001D1C92"/>
    <w:rsid w:val="001D218B"/>
    <w:rsid w:val="001D2AB8"/>
    <w:rsid w:val="001D5396"/>
    <w:rsid w:val="001D7C0D"/>
    <w:rsid w:val="001E1922"/>
    <w:rsid w:val="001E2071"/>
    <w:rsid w:val="001E4E0D"/>
    <w:rsid w:val="001E5CFB"/>
    <w:rsid w:val="001E608B"/>
    <w:rsid w:val="001E69C1"/>
    <w:rsid w:val="001E7DCD"/>
    <w:rsid w:val="001E7FFA"/>
    <w:rsid w:val="001F0AFC"/>
    <w:rsid w:val="001F470F"/>
    <w:rsid w:val="001F4ACD"/>
    <w:rsid w:val="001F6170"/>
    <w:rsid w:val="001F63D7"/>
    <w:rsid w:val="001F6ACF"/>
    <w:rsid w:val="001F6FB1"/>
    <w:rsid w:val="00204248"/>
    <w:rsid w:val="00204431"/>
    <w:rsid w:val="0020464A"/>
    <w:rsid w:val="00204A25"/>
    <w:rsid w:val="0020608E"/>
    <w:rsid w:val="002073B6"/>
    <w:rsid w:val="002076CA"/>
    <w:rsid w:val="002079DD"/>
    <w:rsid w:val="00210CCF"/>
    <w:rsid w:val="00212DCC"/>
    <w:rsid w:val="002141C1"/>
    <w:rsid w:val="00215A82"/>
    <w:rsid w:val="00216F2A"/>
    <w:rsid w:val="00217B67"/>
    <w:rsid w:val="00220914"/>
    <w:rsid w:val="00221D61"/>
    <w:rsid w:val="00221FB3"/>
    <w:rsid w:val="00222968"/>
    <w:rsid w:val="00224456"/>
    <w:rsid w:val="002255E8"/>
    <w:rsid w:val="00225BEA"/>
    <w:rsid w:val="00230440"/>
    <w:rsid w:val="00230AAB"/>
    <w:rsid w:val="00231A19"/>
    <w:rsid w:val="00232081"/>
    <w:rsid w:val="002322E0"/>
    <w:rsid w:val="00232DA1"/>
    <w:rsid w:val="002335E3"/>
    <w:rsid w:val="00233769"/>
    <w:rsid w:val="00233C44"/>
    <w:rsid w:val="00236F57"/>
    <w:rsid w:val="002378BD"/>
    <w:rsid w:val="00237B26"/>
    <w:rsid w:val="00240303"/>
    <w:rsid w:val="0024180A"/>
    <w:rsid w:val="0024268D"/>
    <w:rsid w:val="0024646F"/>
    <w:rsid w:val="00250442"/>
    <w:rsid w:val="00250A66"/>
    <w:rsid w:val="00250EDC"/>
    <w:rsid w:val="0025292C"/>
    <w:rsid w:val="00254336"/>
    <w:rsid w:val="00254EC2"/>
    <w:rsid w:val="002550AB"/>
    <w:rsid w:val="00256322"/>
    <w:rsid w:val="002575A8"/>
    <w:rsid w:val="00260476"/>
    <w:rsid w:val="00261B88"/>
    <w:rsid w:val="00261CB6"/>
    <w:rsid w:val="0026229E"/>
    <w:rsid w:val="002622CD"/>
    <w:rsid w:val="002624F2"/>
    <w:rsid w:val="00266574"/>
    <w:rsid w:val="002668F8"/>
    <w:rsid w:val="00270E78"/>
    <w:rsid w:val="00271390"/>
    <w:rsid w:val="00271AB9"/>
    <w:rsid w:val="0027245E"/>
    <w:rsid w:val="002743A4"/>
    <w:rsid w:val="00274BCC"/>
    <w:rsid w:val="00275406"/>
    <w:rsid w:val="002769E7"/>
    <w:rsid w:val="00281882"/>
    <w:rsid w:val="00281D99"/>
    <w:rsid w:val="002821B9"/>
    <w:rsid w:val="0028450D"/>
    <w:rsid w:val="00290D1B"/>
    <w:rsid w:val="00291EBF"/>
    <w:rsid w:val="00296D8E"/>
    <w:rsid w:val="00297B35"/>
    <w:rsid w:val="002A0772"/>
    <w:rsid w:val="002A4C68"/>
    <w:rsid w:val="002A65EF"/>
    <w:rsid w:val="002A6EA3"/>
    <w:rsid w:val="002A75B8"/>
    <w:rsid w:val="002B0601"/>
    <w:rsid w:val="002B0E58"/>
    <w:rsid w:val="002B10C7"/>
    <w:rsid w:val="002B2F8F"/>
    <w:rsid w:val="002B66EF"/>
    <w:rsid w:val="002B6EC9"/>
    <w:rsid w:val="002B7609"/>
    <w:rsid w:val="002C0665"/>
    <w:rsid w:val="002C2C92"/>
    <w:rsid w:val="002C4749"/>
    <w:rsid w:val="002C5101"/>
    <w:rsid w:val="002C6317"/>
    <w:rsid w:val="002D07B9"/>
    <w:rsid w:val="002D0C71"/>
    <w:rsid w:val="002D0F04"/>
    <w:rsid w:val="002D0F6D"/>
    <w:rsid w:val="002D31A6"/>
    <w:rsid w:val="002D4A56"/>
    <w:rsid w:val="002D797A"/>
    <w:rsid w:val="002E0BC4"/>
    <w:rsid w:val="002E1587"/>
    <w:rsid w:val="002E184C"/>
    <w:rsid w:val="002E2CAE"/>
    <w:rsid w:val="002E32D4"/>
    <w:rsid w:val="002E6409"/>
    <w:rsid w:val="002F137A"/>
    <w:rsid w:val="002F267D"/>
    <w:rsid w:val="002F3D30"/>
    <w:rsid w:val="002F41A4"/>
    <w:rsid w:val="002F48E3"/>
    <w:rsid w:val="002F4A0F"/>
    <w:rsid w:val="002F6BBA"/>
    <w:rsid w:val="002F6DFA"/>
    <w:rsid w:val="002F7C5F"/>
    <w:rsid w:val="0030038F"/>
    <w:rsid w:val="00301DB4"/>
    <w:rsid w:val="00302D7F"/>
    <w:rsid w:val="003035D7"/>
    <w:rsid w:val="00305125"/>
    <w:rsid w:val="00306442"/>
    <w:rsid w:val="003069FB"/>
    <w:rsid w:val="0031171E"/>
    <w:rsid w:val="00312C0C"/>
    <w:rsid w:val="00313AA2"/>
    <w:rsid w:val="003200C9"/>
    <w:rsid w:val="003209C7"/>
    <w:rsid w:val="0032306D"/>
    <w:rsid w:val="00325B83"/>
    <w:rsid w:val="00326170"/>
    <w:rsid w:val="003263E9"/>
    <w:rsid w:val="00326D35"/>
    <w:rsid w:val="00331183"/>
    <w:rsid w:val="00332063"/>
    <w:rsid w:val="00332CEF"/>
    <w:rsid w:val="00333AB9"/>
    <w:rsid w:val="00333C06"/>
    <w:rsid w:val="0033459B"/>
    <w:rsid w:val="00335BE8"/>
    <w:rsid w:val="00337C87"/>
    <w:rsid w:val="0034104E"/>
    <w:rsid w:val="0034265F"/>
    <w:rsid w:val="00343A49"/>
    <w:rsid w:val="00346441"/>
    <w:rsid w:val="003475EC"/>
    <w:rsid w:val="0035076B"/>
    <w:rsid w:val="00352A57"/>
    <w:rsid w:val="00352BEB"/>
    <w:rsid w:val="00353885"/>
    <w:rsid w:val="00361EB1"/>
    <w:rsid w:val="003629D1"/>
    <w:rsid w:val="00362D59"/>
    <w:rsid w:val="003637CE"/>
    <w:rsid w:val="003715EC"/>
    <w:rsid w:val="003725A2"/>
    <w:rsid w:val="00372CC5"/>
    <w:rsid w:val="00373753"/>
    <w:rsid w:val="00373C30"/>
    <w:rsid w:val="00376867"/>
    <w:rsid w:val="00376A96"/>
    <w:rsid w:val="003772AC"/>
    <w:rsid w:val="00381E56"/>
    <w:rsid w:val="00382117"/>
    <w:rsid w:val="003826FF"/>
    <w:rsid w:val="00384AD4"/>
    <w:rsid w:val="003876F6"/>
    <w:rsid w:val="00393D9D"/>
    <w:rsid w:val="00393E61"/>
    <w:rsid w:val="00396D02"/>
    <w:rsid w:val="003A0041"/>
    <w:rsid w:val="003A1C3E"/>
    <w:rsid w:val="003A2970"/>
    <w:rsid w:val="003A5088"/>
    <w:rsid w:val="003A64D1"/>
    <w:rsid w:val="003A7D80"/>
    <w:rsid w:val="003B0E46"/>
    <w:rsid w:val="003B14AA"/>
    <w:rsid w:val="003B19C7"/>
    <w:rsid w:val="003B25A5"/>
    <w:rsid w:val="003B3120"/>
    <w:rsid w:val="003B3537"/>
    <w:rsid w:val="003B567E"/>
    <w:rsid w:val="003B6932"/>
    <w:rsid w:val="003B6E60"/>
    <w:rsid w:val="003B79EB"/>
    <w:rsid w:val="003B7ED0"/>
    <w:rsid w:val="003C0D91"/>
    <w:rsid w:val="003C2B5E"/>
    <w:rsid w:val="003C3E42"/>
    <w:rsid w:val="003C4B05"/>
    <w:rsid w:val="003C524A"/>
    <w:rsid w:val="003C71C8"/>
    <w:rsid w:val="003C72E2"/>
    <w:rsid w:val="003D07D2"/>
    <w:rsid w:val="003D5B84"/>
    <w:rsid w:val="003D79CF"/>
    <w:rsid w:val="003E0207"/>
    <w:rsid w:val="003E304D"/>
    <w:rsid w:val="003E3BAD"/>
    <w:rsid w:val="003E4AA5"/>
    <w:rsid w:val="003F0964"/>
    <w:rsid w:val="003F18A1"/>
    <w:rsid w:val="003F1D93"/>
    <w:rsid w:val="003F2EB6"/>
    <w:rsid w:val="003F4897"/>
    <w:rsid w:val="003F6587"/>
    <w:rsid w:val="00402C7D"/>
    <w:rsid w:val="00403A74"/>
    <w:rsid w:val="00404E6E"/>
    <w:rsid w:val="00407351"/>
    <w:rsid w:val="00407C2D"/>
    <w:rsid w:val="004106DF"/>
    <w:rsid w:val="00411A71"/>
    <w:rsid w:val="00411C0C"/>
    <w:rsid w:val="0041359A"/>
    <w:rsid w:val="0041399A"/>
    <w:rsid w:val="00414535"/>
    <w:rsid w:val="00414EA0"/>
    <w:rsid w:val="00420D64"/>
    <w:rsid w:val="0042253C"/>
    <w:rsid w:val="00423597"/>
    <w:rsid w:val="00424E85"/>
    <w:rsid w:val="00425BE9"/>
    <w:rsid w:val="00427072"/>
    <w:rsid w:val="00427B86"/>
    <w:rsid w:val="0043098B"/>
    <w:rsid w:val="004327F1"/>
    <w:rsid w:val="0043585C"/>
    <w:rsid w:val="00441F35"/>
    <w:rsid w:val="00443205"/>
    <w:rsid w:val="004439D2"/>
    <w:rsid w:val="004503E9"/>
    <w:rsid w:val="0045122D"/>
    <w:rsid w:val="00453463"/>
    <w:rsid w:val="004550E4"/>
    <w:rsid w:val="00455F8D"/>
    <w:rsid w:val="00462C91"/>
    <w:rsid w:val="004637E8"/>
    <w:rsid w:val="0046498C"/>
    <w:rsid w:val="00465B3A"/>
    <w:rsid w:val="00467368"/>
    <w:rsid w:val="004674CD"/>
    <w:rsid w:val="004710EE"/>
    <w:rsid w:val="00472E56"/>
    <w:rsid w:val="004740EC"/>
    <w:rsid w:val="004819CF"/>
    <w:rsid w:val="00481DA2"/>
    <w:rsid w:val="00482432"/>
    <w:rsid w:val="00482E37"/>
    <w:rsid w:val="00484866"/>
    <w:rsid w:val="004859D6"/>
    <w:rsid w:val="00485FD1"/>
    <w:rsid w:val="0048797E"/>
    <w:rsid w:val="00487DD3"/>
    <w:rsid w:val="004902C8"/>
    <w:rsid w:val="004905D4"/>
    <w:rsid w:val="004907F7"/>
    <w:rsid w:val="00492AF0"/>
    <w:rsid w:val="00492E44"/>
    <w:rsid w:val="004947B9"/>
    <w:rsid w:val="00494BE8"/>
    <w:rsid w:val="0049514C"/>
    <w:rsid w:val="00496AF6"/>
    <w:rsid w:val="00496DFD"/>
    <w:rsid w:val="004A0C8B"/>
    <w:rsid w:val="004A187E"/>
    <w:rsid w:val="004A1CD1"/>
    <w:rsid w:val="004A335F"/>
    <w:rsid w:val="004A3F3D"/>
    <w:rsid w:val="004A4FDB"/>
    <w:rsid w:val="004A5FC0"/>
    <w:rsid w:val="004A7C83"/>
    <w:rsid w:val="004B1FFE"/>
    <w:rsid w:val="004B2F8C"/>
    <w:rsid w:val="004B4EDE"/>
    <w:rsid w:val="004B560E"/>
    <w:rsid w:val="004B589F"/>
    <w:rsid w:val="004B661B"/>
    <w:rsid w:val="004B76DC"/>
    <w:rsid w:val="004C0B2C"/>
    <w:rsid w:val="004C2386"/>
    <w:rsid w:val="004C3BEB"/>
    <w:rsid w:val="004C59ED"/>
    <w:rsid w:val="004C65D5"/>
    <w:rsid w:val="004D2656"/>
    <w:rsid w:val="004D4395"/>
    <w:rsid w:val="004D7295"/>
    <w:rsid w:val="004D77C7"/>
    <w:rsid w:val="004D7A02"/>
    <w:rsid w:val="004E02A1"/>
    <w:rsid w:val="004E140A"/>
    <w:rsid w:val="004E154B"/>
    <w:rsid w:val="004E1914"/>
    <w:rsid w:val="004E1A79"/>
    <w:rsid w:val="004E3613"/>
    <w:rsid w:val="004E3AFD"/>
    <w:rsid w:val="004E3CAD"/>
    <w:rsid w:val="004E6453"/>
    <w:rsid w:val="004E6C69"/>
    <w:rsid w:val="004E7169"/>
    <w:rsid w:val="004F0C7C"/>
    <w:rsid w:val="004F101E"/>
    <w:rsid w:val="004F2A11"/>
    <w:rsid w:val="004F3166"/>
    <w:rsid w:val="004F3208"/>
    <w:rsid w:val="004F41FA"/>
    <w:rsid w:val="004F4D4A"/>
    <w:rsid w:val="004F54D2"/>
    <w:rsid w:val="004F6193"/>
    <w:rsid w:val="00501713"/>
    <w:rsid w:val="00505F41"/>
    <w:rsid w:val="0050794C"/>
    <w:rsid w:val="0051075B"/>
    <w:rsid w:val="00511236"/>
    <w:rsid w:val="00511539"/>
    <w:rsid w:val="00512567"/>
    <w:rsid w:val="00512DE0"/>
    <w:rsid w:val="0051361F"/>
    <w:rsid w:val="00515455"/>
    <w:rsid w:val="00516317"/>
    <w:rsid w:val="005174E6"/>
    <w:rsid w:val="005174FF"/>
    <w:rsid w:val="00520EC3"/>
    <w:rsid w:val="0052138C"/>
    <w:rsid w:val="005213A1"/>
    <w:rsid w:val="00521FAA"/>
    <w:rsid w:val="00523362"/>
    <w:rsid w:val="00523B26"/>
    <w:rsid w:val="0052442F"/>
    <w:rsid w:val="00524F29"/>
    <w:rsid w:val="005265AC"/>
    <w:rsid w:val="00526CFA"/>
    <w:rsid w:val="00530CAF"/>
    <w:rsid w:val="00530CD1"/>
    <w:rsid w:val="00531148"/>
    <w:rsid w:val="0053172B"/>
    <w:rsid w:val="005318DF"/>
    <w:rsid w:val="00532521"/>
    <w:rsid w:val="00532941"/>
    <w:rsid w:val="00534B52"/>
    <w:rsid w:val="00535A39"/>
    <w:rsid w:val="005373E3"/>
    <w:rsid w:val="00540DCE"/>
    <w:rsid w:val="00540DD7"/>
    <w:rsid w:val="00541F86"/>
    <w:rsid w:val="00541FCB"/>
    <w:rsid w:val="0054283A"/>
    <w:rsid w:val="0054292B"/>
    <w:rsid w:val="00545E9C"/>
    <w:rsid w:val="00547658"/>
    <w:rsid w:val="0054768C"/>
    <w:rsid w:val="005561EF"/>
    <w:rsid w:val="0055649A"/>
    <w:rsid w:val="00560950"/>
    <w:rsid w:val="00563102"/>
    <w:rsid w:val="0056441D"/>
    <w:rsid w:val="0057106C"/>
    <w:rsid w:val="00572013"/>
    <w:rsid w:val="00572E87"/>
    <w:rsid w:val="00573113"/>
    <w:rsid w:val="00573257"/>
    <w:rsid w:val="005778F7"/>
    <w:rsid w:val="00577A3F"/>
    <w:rsid w:val="005805DF"/>
    <w:rsid w:val="00580BF2"/>
    <w:rsid w:val="0058326E"/>
    <w:rsid w:val="005833B8"/>
    <w:rsid w:val="00583A03"/>
    <w:rsid w:val="00584180"/>
    <w:rsid w:val="005841BA"/>
    <w:rsid w:val="00584301"/>
    <w:rsid w:val="005877F2"/>
    <w:rsid w:val="00592442"/>
    <w:rsid w:val="0059283B"/>
    <w:rsid w:val="005935FD"/>
    <w:rsid w:val="00593E92"/>
    <w:rsid w:val="005949F1"/>
    <w:rsid w:val="005956F7"/>
    <w:rsid w:val="00595CB2"/>
    <w:rsid w:val="005978C8"/>
    <w:rsid w:val="005A0A0F"/>
    <w:rsid w:val="005A1AD0"/>
    <w:rsid w:val="005A2361"/>
    <w:rsid w:val="005A24ED"/>
    <w:rsid w:val="005A2573"/>
    <w:rsid w:val="005A2C6E"/>
    <w:rsid w:val="005A4783"/>
    <w:rsid w:val="005A6B87"/>
    <w:rsid w:val="005B0825"/>
    <w:rsid w:val="005B0A84"/>
    <w:rsid w:val="005B2D16"/>
    <w:rsid w:val="005B4DAF"/>
    <w:rsid w:val="005B4FF3"/>
    <w:rsid w:val="005B56A0"/>
    <w:rsid w:val="005B5788"/>
    <w:rsid w:val="005B60D5"/>
    <w:rsid w:val="005B693A"/>
    <w:rsid w:val="005B6AAE"/>
    <w:rsid w:val="005B7CAF"/>
    <w:rsid w:val="005C11D6"/>
    <w:rsid w:val="005C12EA"/>
    <w:rsid w:val="005C1759"/>
    <w:rsid w:val="005C234E"/>
    <w:rsid w:val="005D02EE"/>
    <w:rsid w:val="005D0C1B"/>
    <w:rsid w:val="005D210E"/>
    <w:rsid w:val="005D3D27"/>
    <w:rsid w:val="005D464B"/>
    <w:rsid w:val="005D7D3A"/>
    <w:rsid w:val="005D7EB1"/>
    <w:rsid w:val="005E6EF7"/>
    <w:rsid w:val="005E736A"/>
    <w:rsid w:val="005E75FC"/>
    <w:rsid w:val="005F042D"/>
    <w:rsid w:val="005F0881"/>
    <w:rsid w:val="005F3D1C"/>
    <w:rsid w:val="005F46F1"/>
    <w:rsid w:val="005F534C"/>
    <w:rsid w:val="005F75F8"/>
    <w:rsid w:val="006044C7"/>
    <w:rsid w:val="006077DA"/>
    <w:rsid w:val="006123B6"/>
    <w:rsid w:val="00612835"/>
    <w:rsid w:val="00613052"/>
    <w:rsid w:val="00613977"/>
    <w:rsid w:val="0061427E"/>
    <w:rsid w:val="0061627D"/>
    <w:rsid w:val="006206C7"/>
    <w:rsid w:val="006212FA"/>
    <w:rsid w:val="00622118"/>
    <w:rsid w:val="00622EC4"/>
    <w:rsid w:val="0062488B"/>
    <w:rsid w:val="00625A59"/>
    <w:rsid w:val="00630178"/>
    <w:rsid w:val="0063104B"/>
    <w:rsid w:val="006327F1"/>
    <w:rsid w:val="00632C36"/>
    <w:rsid w:val="00636167"/>
    <w:rsid w:val="00641B32"/>
    <w:rsid w:val="00644417"/>
    <w:rsid w:val="00647075"/>
    <w:rsid w:val="00652EBE"/>
    <w:rsid w:val="006549EF"/>
    <w:rsid w:val="0065591C"/>
    <w:rsid w:val="00655C14"/>
    <w:rsid w:val="00656420"/>
    <w:rsid w:val="006579EF"/>
    <w:rsid w:val="00661980"/>
    <w:rsid w:val="00662070"/>
    <w:rsid w:val="0066237A"/>
    <w:rsid w:val="006628A9"/>
    <w:rsid w:val="00665A9F"/>
    <w:rsid w:val="00665B37"/>
    <w:rsid w:val="006719D8"/>
    <w:rsid w:val="0067364F"/>
    <w:rsid w:val="00675D81"/>
    <w:rsid w:val="00676455"/>
    <w:rsid w:val="00676EB9"/>
    <w:rsid w:val="00681951"/>
    <w:rsid w:val="00682B00"/>
    <w:rsid w:val="00682B43"/>
    <w:rsid w:val="00685AA5"/>
    <w:rsid w:val="00685FB4"/>
    <w:rsid w:val="006863DA"/>
    <w:rsid w:val="00687CA7"/>
    <w:rsid w:val="00687D3A"/>
    <w:rsid w:val="00691157"/>
    <w:rsid w:val="006925E2"/>
    <w:rsid w:val="00694E32"/>
    <w:rsid w:val="006A0231"/>
    <w:rsid w:val="006A090C"/>
    <w:rsid w:val="006A1384"/>
    <w:rsid w:val="006A21E8"/>
    <w:rsid w:val="006A34DA"/>
    <w:rsid w:val="006A6AEE"/>
    <w:rsid w:val="006B027E"/>
    <w:rsid w:val="006B0965"/>
    <w:rsid w:val="006B1B79"/>
    <w:rsid w:val="006B3D0A"/>
    <w:rsid w:val="006B41B5"/>
    <w:rsid w:val="006B6754"/>
    <w:rsid w:val="006B71FD"/>
    <w:rsid w:val="006B731F"/>
    <w:rsid w:val="006C0661"/>
    <w:rsid w:val="006C080E"/>
    <w:rsid w:val="006C0E3B"/>
    <w:rsid w:val="006C18AF"/>
    <w:rsid w:val="006C1C59"/>
    <w:rsid w:val="006C1D12"/>
    <w:rsid w:val="006C7E06"/>
    <w:rsid w:val="006D29E6"/>
    <w:rsid w:val="006D2EAB"/>
    <w:rsid w:val="006D449D"/>
    <w:rsid w:val="006D5851"/>
    <w:rsid w:val="006D5DAA"/>
    <w:rsid w:val="006D60D9"/>
    <w:rsid w:val="006D6178"/>
    <w:rsid w:val="006E361D"/>
    <w:rsid w:val="006E3810"/>
    <w:rsid w:val="006E44B1"/>
    <w:rsid w:val="006E492E"/>
    <w:rsid w:val="006E4C9D"/>
    <w:rsid w:val="006E5DCF"/>
    <w:rsid w:val="006E669C"/>
    <w:rsid w:val="006E786F"/>
    <w:rsid w:val="006E78F0"/>
    <w:rsid w:val="006F01C3"/>
    <w:rsid w:val="006F0A09"/>
    <w:rsid w:val="006F0E5B"/>
    <w:rsid w:val="006F52F9"/>
    <w:rsid w:val="006F5B9E"/>
    <w:rsid w:val="006F7480"/>
    <w:rsid w:val="0070124C"/>
    <w:rsid w:val="007017C6"/>
    <w:rsid w:val="00701BCF"/>
    <w:rsid w:val="007027BB"/>
    <w:rsid w:val="00705140"/>
    <w:rsid w:val="007066C5"/>
    <w:rsid w:val="00712FFF"/>
    <w:rsid w:val="007142C8"/>
    <w:rsid w:val="00717984"/>
    <w:rsid w:val="00717A32"/>
    <w:rsid w:val="00720729"/>
    <w:rsid w:val="007212E2"/>
    <w:rsid w:val="00723DEB"/>
    <w:rsid w:val="007240E7"/>
    <w:rsid w:val="00724751"/>
    <w:rsid w:val="00731AEB"/>
    <w:rsid w:val="007353C2"/>
    <w:rsid w:val="00740C36"/>
    <w:rsid w:val="00741A8F"/>
    <w:rsid w:val="00742008"/>
    <w:rsid w:val="00743BA0"/>
    <w:rsid w:val="00743BA6"/>
    <w:rsid w:val="00743D06"/>
    <w:rsid w:val="00746FDF"/>
    <w:rsid w:val="00747DFD"/>
    <w:rsid w:val="00752A4E"/>
    <w:rsid w:val="00754329"/>
    <w:rsid w:val="007547A1"/>
    <w:rsid w:val="00756A93"/>
    <w:rsid w:val="0075769A"/>
    <w:rsid w:val="00765DEF"/>
    <w:rsid w:val="00766E46"/>
    <w:rsid w:val="00770024"/>
    <w:rsid w:val="00770E6E"/>
    <w:rsid w:val="00771A7C"/>
    <w:rsid w:val="0077230A"/>
    <w:rsid w:val="0077246F"/>
    <w:rsid w:val="00772725"/>
    <w:rsid w:val="00773EB7"/>
    <w:rsid w:val="0077503F"/>
    <w:rsid w:val="007751AA"/>
    <w:rsid w:val="0077591C"/>
    <w:rsid w:val="00777AD7"/>
    <w:rsid w:val="00780839"/>
    <w:rsid w:val="00780E2D"/>
    <w:rsid w:val="00784628"/>
    <w:rsid w:val="00784A9B"/>
    <w:rsid w:val="007912CE"/>
    <w:rsid w:val="0079451D"/>
    <w:rsid w:val="00797D58"/>
    <w:rsid w:val="007A04C8"/>
    <w:rsid w:val="007A3102"/>
    <w:rsid w:val="007A3B30"/>
    <w:rsid w:val="007A3FC0"/>
    <w:rsid w:val="007A49BA"/>
    <w:rsid w:val="007A609F"/>
    <w:rsid w:val="007A7484"/>
    <w:rsid w:val="007B57A1"/>
    <w:rsid w:val="007B5AC2"/>
    <w:rsid w:val="007B7535"/>
    <w:rsid w:val="007C0D3D"/>
    <w:rsid w:val="007C2A08"/>
    <w:rsid w:val="007C60D8"/>
    <w:rsid w:val="007C7016"/>
    <w:rsid w:val="007D0AC6"/>
    <w:rsid w:val="007D2077"/>
    <w:rsid w:val="007D7A78"/>
    <w:rsid w:val="007E5812"/>
    <w:rsid w:val="007E68A5"/>
    <w:rsid w:val="007F117C"/>
    <w:rsid w:val="007F1EC7"/>
    <w:rsid w:val="007F286F"/>
    <w:rsid w:val="007F2C82"/>
    <w:rsid w:val="007F36F4"/>
    <w:rsid w:val="007F3EAF"/>
    <w:rsid w:val="007F40B0"/>
    <w:rsid w:val="007F5F38"/>
    <w:rsid w:val="007F665B"/>
    <w:rsid w:val="008042C8"/>
    <w:rsid w:val="00805C0B"/>
    <w:rsid w:val="00805CFD"/>
    <w:rsid w:val="00807F15"/>
    <w:rsid w:val="0081359D"/>
    <w:rsid w:val="008136A0"/>
    <w:rsid w:val="00813CDD"/>
    <w:rsid w:val="00814164"/>
    <w:rsid w:val="00815A2E"/>
    <w:rsid w:val="008168B9"/>
    <w:rsid w:val="00820B4E"/>
    <w:rsid w:val="00821F28"/>
    <w:rsid w:val="00822488"/>
    <w:rsid w:val="0082324C"/>
    <w:rsid w:val="00823B38"/>
    <w:rsid w:val="00823F1C"/>
    <w:rsid w:val="00824697"/>
    <w:rsid w:val="00827A30"/>
    <w:rsid w:val="008318B8"/>
    <w:rsid w:val="00831DDD"/>
    <w:rsid w:val="00832382"/>
    <w:rsid w:val="00832386"/>
    <w:rsid w:val="008332DA"/>
    <w:rsid w:val="008344C2"/>
    <w:rsid w:val="00834BAC"/>
    <w:rsid w:val="00835DCB"/>
    <w:rsid w:val="00836D01"/>
    <w:rsid w:val="008379F3"/>
    <w:rsid w:val="00837EA3"/>
    <w:rsid w:val="00841BFC"/>
    <w:rsid w:val="008439A0"/>
    <w:rsid w:val="00843BE9"/>
    <w:rsid w:val="00843C01"/>
    <w:rsid w:val="00845041"/>
    <w:rsid w:val="008508FF"/>
    <w:rsid w:val="00850CAC"/>
    <w:rsid w:val="0085238C"/>
    <w:rsid w:val="008530DA"/>
    <w:rsid w:val="008538D0"/>
    <w:rsid w:val="00853BF4"/>
    <w:rsid w:val="00854649"/>
    <w:rsid w:val="00854ED5"/>
    <w:rsid w:val="00855965"/>
    <w:rsid w:val="00856356"/>
    <w:rsid w:val="008563F2"/>
    <w:rsid w:val="00860671"/>
    <w:rsid w:val="00862CD2"/>
    <w:rsid w:val="0086508B"/>
    <w:rsid w:val="00866E4F"/>
    <w:rsid w:val="0087156B"/>
    <w:rsid w:val="00872D7E"/>
    <w:rsid w:val="00873624"/>
    <w:rsid w:val="008754E6"/>
    <w:rsid w:val="0087776F"/>
    <w:rsid w:val="0088233C"/>
    <w:rsid w:val="0088280A"/>
    <w:rsid w:val="00883EB7"/>
    <w:rsid w:val="00886D42"/>
    <w:rsid w:val="00892C9F"/>
    <w:rsid w:val="00892FBD"/>
    <w:rsid w:val="00893AD8"/>
    <w:rsid w:val="00893D2C"/>
    <w:rsid w:val="00894D11"/>
    <w:rsid w:val="0089523F"/>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60B8"/>
    <w:rsid w:val="008B7187"/>
    <w:rsid w:val="008C12BE"/>
    <w:rsid w:val="008C1B93"/>
    <w:rsid w:val="008C22C7"/>
    <w:rsid w:val="008C38EB"/>
    <w:rsid w:val="008C414B"/>
    <w:rsid w:val="008C41C8"/>
    <w:rsid w:val="008C54EA"/>
    <w:rsid w:val="008C6701"/>
    <w:rsid w:val="008C671C"/>
    <w:rsid w:val="008D28A9"/>
    <w:rsid w:val="008D3BDF"/>
    <w:rsid w:val="008D5ED6"/>
    <w:rsid w:val="008D7EA2"/>
    <w:rsid w:val="008E0F80"/>
    <w:rsid w:val="008E17AF"/>
    <w:rsid w:val="008E1CA4"/>
    <w:rsid w:val="008E3FAA"/>
    <w:rsid w:val="008E737C"/>
    <w:rsid w:val="008F0001"/>
    <w:rsid w:val="008F05B8"/>
    <w:rsid w:val="008F0C9D"/>
    <w:rsid w:val="008F0D5A"/>
    <w:rsid w:val="008F1C12"/>
    <w:rsid w:val="008F326B"/>
    <w:rsid w:val="008F5A4B"/>
    <w:rsid w:val="008F5EF9"/>
    <w:rsid w:val="008F5F6F"/>
    <w:rsid w:val="00900EC1"/>
    <w:rsid w:val="00901214"/>
    <w:rsid w:val="00904D6D"/>
    <w:rsid w:val="00904EC8"/>
    <w:rsid w:val="00906951"/>
    <w:rsid w:val="0091187A"/>
    <w:rsid w:val="00912FBC"/>
    <w:rsid w:val="00913D3B"/>
    <w:rsid w:val="00913F75"/>
    <w:rsid w:val="00914133"/>
    <w:rsid w:val="00921D05"/>
    <w:rsid w:val="0092257C"/>
    <w:rsid w:val="00923121"/>
    <w:rsid w:val="009314C3"/>
    <w:rsid w:val="009317FD"/>
    <w:rsid w:val="0094001A"/>
    <w:rsid w:val="009406FF"/>
    <w:rsid w:val="00941203"/>
    <w:rsid w:val="009416C1"/>
    <w:rsid w:val="0094367D"/>
    <w:rsid w:val="00943FA1"/>
    <w:rsid w:val="00945A5C"/>
    <w:rsid w:val="00946389"/>
    <w:rsid w:val="0094738D"/>
    <w:rsid w:val="00950EF7"/>
    <w:rsid w:val="00954DC1"/>
    <w:rsid w:val="00955462"/>
    <w:rsid w:val="00955F17"/>
    <w:rsid w:val="00956EB6"/>
    <w:rsid w:val="00957C11"/>
    <w:rsid w:val="009617A9"/>
    <w:rsid w:val="00964A77"/>
    <w:rsid w:val="009665BE"/>
    <w:rsid w:val="009673AB"/>
    <w:rsid w:val="00967961"/>
    <w:rsid w:val="00970E84"/>
    <w:rsid w:val="00971153"/>
    <w:rsid w:val="009720B4"/>
    <w:rsid w:val="009758C4"/>
    <w:rsid w:val="00981036"/>
    <w:rsid w:val="00981E5F"/>
    <w:rsid w:val="00983846"/>
    <w:rsid w:val="00990CC8"/>
    <w:rsid w:val="0099227E"/>
    <w:rsid w:val="009949C5"/>
    <w:rsid w:val="009A19B2"/>
    <w:rsid w:val="009B34D9"/>
    <w:rsid w:val="009B3EC0"/>
    <w:rsid w:val="009B5FE8"/>
    <w:rsid w:val="009B62B1"/>
    <w:rsid w:val="009B76C2"/>
    <w:rsid w:val="009B7C57"/>
    <w:rsid w:val="009C080D"/>
    <w:rsid w:val="009C3FE9"/>
    <w:rsid w:val="009C5293"/>
    <w:rsid w:val="009C78B6"/>
    <w:rsid w:val="009D41DF"/>
    <w:rsid w:val="009D709E"/>
    <w:rsid w:val="009E0249"/>
    <w:rsid w:val="009E055A"/>
    <w:rsid w:val="009E0F0F"/>
    <w:rsid w:val="009E36AC"/>
    <w:rsid w:val="009E4FB4"/>
    <w:rsid w:val="009E5694"/>
    <w:rsid w:val="009E585B"/>
    <w:rsid w:val="009E5A28"/>
    <w:rsid w:val="009F040E"/>
    <w:rsid w:val="009F2287"/>
    <w:rsid w:val="009F5518"/>
    <w:rsid w:val="00A01765"/>
    <w:rsid w:val="00A02DD3"/>
    <w:rsid w:val="00A04D6C"/>
    <w:rsid w:val="00A05622"/>
    <w:rsid w:val="00A1136A"/>
    <w:rsid w:val="00A1327F"/>
    <w:rsid w:val="00A16250"/>
    <w:rsid w:val="00A17296"/>
    <w:rsid w:val="00A17D28"/>
    <w:rsid w:val="00A21621"/>
    <w:rsid w:val="00A22457"/>
    <w:rsid w:val="00A22900"/>
    <w:rsid w:val="00A31E71"/>
    <w:rsid w:val="00A3340E"/>
    <w:rsid w:val="00A4148F"/>
    <w:rsid w:val="00A42248"/>
    <w:rsid w:val="00A426C8"/>
    <w:rsid w:val="00A42ABF"/>
    <w:rsid w:val="00A4427E"/>
    <w:rsid w:val="00A46733"/>
    <w:rsid w:val="00A46ECF"/>
    <w:rsid w:val="00A477B8"/>
    <w:rsid w:val="00A47AD5"/>
    <w:rsid w:val="00A47F03"/>
    <w:rsid w:val="00A51683"/>
    <w:rsid w:val="00A51892"/>
    <w:rsid w:val="00A52037"/>
    <w:rsid w:val="00A52149"/>
    <w:rsid w:val="00A5654D"/>
    <w:rsid w:val="00A5669C"/>
    <w:rsid w:val="00A5724F"/>
    <w:rsid w:val="00A6261F"/>
    <w:rsid w:val="00A662A3"/>
    <w:rsid w:val="00A6697F"/>
    <w:rsid w:val="00A71C8A"/>
    <w:rsid w:val="00A71ED6"/>
    <w:rsid w:val="00A745A1"/>
    <w:rsid w:val="00A77AFE"/>
    <w:rsid w:val="00A77E76"/>
    <w:rsid w:val="00A80090"/>
    <w:rsid w:val="00A82275"/>
    <w:rsid w:val="00A85A64"/>
    <w:rsid w:val="00A91D34"/>
    <w:rsid w:val="00A93118"/>
    <w:rsid w:val="00AA3EC5"/>
    <w:rsid w:val="00AA48F5"/>
    <w:rsid w:val="00AA4B39"/>
    <w:rsid w:val="00AA4DBA"/>
    <w:rsid w:val="00AA512B"/>
    <w:rsid w:val="00AA608B"/>
    <w:rsid w:val="00AA77C0"/>
    <w:rsid w:val="00AB1CD7"/>
    <w:rsid w:val="00AB1F5C"/>
    <w:rsid w:val="00AB4311"/>
    <w:rsid w:val="00AB49DA"/>
    <w:rsid w:val="00AB59A7"/>
    <w:rsid w:val="00AB68F7"/>
    <w:rsid w:val="00AC077B"/>
    <w:rsid w:val="00AC0C82"/>
    <w:rsid w:val="00AC1F08"/>
    <w:rsid w:val="00AC45F6"/>
    <w:rsid w:val="00AC60ED"/>
    <w:rsid w:val="00AD2A52"/>
    <w:rsid w:val="00AD529F"/>
    <w:rsid w:val="00AD564C"/>
    <w:rsid w:val="00AD7639"/>
    <w:rsid w:val="00AE3182"/>
    <w:rsid w:val="00AE43A3"/>
    <w:rsid w:val="00AF095A"/>
    <w:rsid w:val="00AF1030"/>
    <w:rsid w:val="00AF1119"/>
    <w:rsid w:val="00AF59C3"/>
    <w:rsid w:val="00AF78FE"/>
    <w:rsid w:val="00B011BB"/>
    <w:rsid w:val="00B0163B"/>
    <w:rsid w:val="00B022C9"/>
    <w:rsid w:val="00B04312"/>
    <w:rsid w:val="00B0539A"/>
    <w:rsid w:val="00B06669"/>
    <w:rsid w:val="00B06F09"/>
    <w:rsid w:val="00B07DF0"/>
    <w:rsid w:val="00B14782"/>
    <w:rsid w:val="00B14B32"/>
    <w:rsid w:val="00B14BA4"/>
    <w:rsid w:val="00B14C9C"/>
    <w:rsid w:val="00B14E05"/>
    <w:rsid w:val="00B15EA7"/>
    <w:rsid w:val="00B162E1"/>
    <w:rsid w:val="00B16405"/>
    <w:rsid w:val="00B17156"/>
    <w:rsid w:val="00B17A29"/>
    <w:rsid w:val="00B17D85"/>
    <w:rsid w:val="00B21966"/>
    <w:rsid w:val="00B2363C"/>
    <w:rsid w:val="00B252F9"/>
    <w:rsid w:val="00B25977"/>
    <w:rsid w:val="00B271D8"/>
    <w:rsid w:val="00B27C45"/>
    <w:rsid w:val="00B313EB"/>
    <w:rsid w:val="00B3198A"/>
    <w:rsid w:val="00B3219B"/>
    <w:rsid w:val="00B34812"/>
    <w:rsid w:val="00B357AE"/>
    <w:rsid w:val="00B37E57"/>
    <w:rsid w:val="00B42FA5"/>
    <w:rsid w:val="00B43A1A"/>
    <w:rsid w:val="00B514D3"/>
    <w:rsid w:val="00B51BC7"/>
    <w:rsid w:val="00B52134"/>
    <w:rsid w:val="00B56063"/>
    <w:rsid w:val="00B570B0"/>
    <w:rsid w:val="00B57714"/>
    <w:rsid w:val="00B60844"/>
    <w:rsid w:val="00B61620"/>
    <w:rsid w:val="00B64061"/>
    <w:rsid w:val="00B65BB6"/>
    <w:rsid w:val="00B7048C"/>
    <w:rsid w:val="00B716EC"/>
    <w:rsid w:val="00B71D8A"/>
    <w:rsid w:val="00B73F7D"/>
    <w:rsid w:val="00B743B9"/>
    <w:rsid w:val="00B768D7"/>
    <w:rsid w:val="00B7694A"/>
    <w:rsid w:val="00B778A3"/>
    <w:rsid w:val="00B809F3"/>
    <w:rsid w:val="00B82AA2"/>
    <w:rsid w:val="00B85932"/>
    <w:rsid w:val="00B87588"/>
    <w:rsid w:val="00B87C99"/>
    <w:rsid w:val="00B92474"/>
    <w:rsid w:val="00B9459A"/>
    <w:rsid w:val="00B959D2"/>
    <w:rsid w:val="00BA2419"/>
    <w:rsid w:val="00BA7F5A"/>
    <w:rsid w:val="00BB0F2F"/>
    <w:rsid w:val="00BB1C66"/>
    <w:rsid w:val="00BB3596"/>
    <w:rsid w:val="00BB4E5E"/>
    <w:rsid w:val="00BB524D"/>
    <w:rsid w:val="00BB5385"/>
    <w:rsid w:val="00BB5653"/>
    <w:rsid w:val="00BB6E3C"/>
    <w:rsid w:val="00BB6EC5"/>
    <w:rsid w:val="00BB7AF0"/>
    <w:rsid w:val="00BC06CF"/>
    <w:rsid w:val="00BC133D"/>
    <w:rsid w:val="00BC18E5"/>
    <w:rsid w:val="00BC3E9C"/>
    <w:rsid w:val="00BC4AF5"/>
    <w:rsid w:val="00BC5AA5"/>
    <w:rsid w:val="00BC61EB"/>
    <w:rsid w:val="00BC7CC2"/>
    <w:rsid w:val="00BD049F"/>
    <w:rsid w:val="00BD0D55"/>
    <w:rsid w:val="00BD0E9D"/>
    <w:rsid w:val="00BD218A"/>
    <w:rsid w:val="00BD323B"/>
    <w:rsid w:val="00BD399A"/>
    <w:rsid w:val="00BD557E"/>
    <w:rsid w:val="00BD5B18"/>
    <w:rsid w:val="00BD5F64"/>
    <w:rsid w:val="00BE0201"/>
    <w:rsid w:val="00BE3232"/>
    <w:rsid w:val="00BE520C"/>
    <w:rsid w:val="00BF16AD"/>
    <w:rsid w:val="00BF2C8B"/>
    <w:rsid w:val="00BF34A7"/>
    <w:rsid w:val="00BF3B14"/>
    <w:rsid w:val="00BF57D7"/>
    <w:rsid w:val="00BF6218"/>
    <w:rsid w:val="00BF7213"/>
    <w:rsid w:val="00C00EA2"/>
    <w:rsid w:val="00C011EE"/>
    <w:rsid w:val="00C02535"/>
    <w:rsid w:val="00C02606"/>
    <w:rsid w:val="00C0352A"/>
    <w:rsid w:val="00C0425B"/>
    <w:rsid w:val="00C05811"/>
    <w:rsid w:val="00C07BEF"/>
    <w:rsid w:val="00C1015B"/>
    <w:rsid w:val="00C103A1"/>
    <w:rsid w:val="00C10A10"/>
    <w:rsid w:val="00C10D6A"/>
    <w:rsid w:val="00C10EC0"/>
    <w:rsid w:val="00C13B9C"/>
    <w:rsid w:val="00C14063"/>
    <w:rsid w:val="00C15102"/>
    <w:rsid w:val="00C15A56"/>
    <w:rsid w:val="00C22F0A"/>
    <w:rsid w:val="00C2325B"/>
    <w:rsid w:val="00C25B1C"/>
    <w:rsid w:val="00C26299"/>
    <w:rsid w:val="00C26C13"/>
    <w:rsid w:val="00C311E4"/>
    <w:rsid w:val="00C322BB"/>
    <w:rsid w:val="00C33540"/>
    <w:rsid w:val="00C350F2"/>
    <w:rsid w:val="00C35B73"/>
    <w:rsid w:val="00C35B8F"/>
    <w:rsid w:val="00C35FBE"/>
    <w:rsid w:val="00C36DAD"/>
    <w:rsid w:val="00C40E59"/>
    <w:rsid w:val="00C418BF"/>
    <w:rsid w:val="00C4258F"/>
    <w:rsid w:val="00C43975"/>
    <w:rsid w:val="00C44562"/>
    <w:rsid w:val="00C453FB"/>
    <w:rsid w:val="00C50166"/>
    <w:rsid w:val="00C502FF"/>
    <w:rsid w:val="00C521BC"/>
    <w:rsid w:val="00C54EFE"/>
    <w:rsid w:val="00C55BED"/>
    <w:rsid w:val="00C55D03"/>
    <w:rsid w:val="00C55F3E"/>
    <w:rsid w:val="00C57311"/>
    <w:rsid w:val="00C57791"/>
    <w:rsid w:val="00C60006"/>
    <w:rsid w:val="00C6069B"/>
    <w:rsid w:val="00C61929"/>
    <w:rsid w:val="00C62E71"/>
    <w:rsid w:val="00C63059"/>
    <w:rsid w:val="00C631FE"/>
    <w:rsid w:val="00C63C08"/>
    <w:rsid w:val="00C66CCC"/>
    <w:rsid w:val="00C676A4"/>
    <w:rsid w:val="00C700B6"/>
    <w:rsid w:val="00C7182A"/>
    <w:rsid w:val="00C72659"/>
    <w:rsid w:val="00C734AC"/>
    <w:rsid w:val="00C73BD7"/>
    <w:rsid w:val="00C80CAC"/>
    <w:rsid w:val="00C82139"/>
    <w:rsid w:val="00C8516B"/>
    <w:rsid w:val="00C854C1"/>
    <w:rsid w:val="00C85B81"/>
    <w:rsid w:val="00C87E71"/>
    <w:rsid w:val="00C90272"/>
    <w:rsid w:val="00C90818"/>
    <w:rsid w:val="00C91630"/>
    <w:rsid w:val="00C9178F"/>
    <w:rsid w:val="00C93F76"/>
    <w:rsid w:val="00C9655A"/>
    <w:rsid w:val="00C96FCA"/>
    <w:rsid w:val="00C9754D"/>
    <w:rsid w:val="00C975DF"/>
    <w:rsid w:val="00CA5D84"/>
    <w:rsid w:val="00CB3AD5"/>
    <w:rsid w:val="00CB73B9"/>
    <w:rsid w:val="00CC1960"/>
    <w:rsid w:val="00CD2C37"/>
    <w:rsid w:val="00CD31B1"/>
    <w:rsid w:val="00CD6146"/>
    <w:rsid w:val="00CD725A"/>
    <w:rsid w:val="00CE1CF3"/>
    <w:rsid w:val="00CE44F9"/>
    <w:rsid w:val="00CE45FC"/>
    <w:rsid w:val="00CE70F3"/>
    <w:rsid w:val="00CE7659"/>
    <w:rsid w:val="00CF0E18"/>
    <w:rsid w:val="00CF29A4"/>
    <w:rsid w:val="00CF2F2E"/>
    <w:rsid w:val="00CF4D55"/>
    <w:rsid w:val="00CF5A8A"/>
    <w:rsid w:val="00CF5FF4"/>
    <w:rsid w:val="00CF624D"/>
    <w:rsid w:val="00CF6E34"/>
    <w:rsid w:val="00D00B3B"/>
    <w:rsid w:val="00D066D9"/>
    <w:rsid w:val="00D06E9D"/>
    <w:rsid w:val="00D076EF"/>
    <w:rsid w:val="00D07B5A"/>
    <w:rsid w:val="00D108C5"/>
    <w:rsid w:val="00D10D7A"/>
    <w:rsid w:val="00D1187F"/>
    <w:rsid w:val="00D11C2D"/>
    <w:rsid w:val="00D12E4F"/>
    <w:rsid w:val="00D13B03"/>
    <w:rsid w:val="00D1618D"/>
    <w:rsid w:val="00D167B1"/>
    <w:rsid w:val="00D16D1B"/>
    <w:rsid w:val="00D2060F"/>
    <w:rsid w:val="00D21B66"/>
    <w:rsid w:val="00D21F66"/>
    <w:rsid w:val="00D24B66"/>
    <w:rsid w:val="00D24C22"/>
    <w:rsid w:val="00D31492"/>
    <w:rsid w:val="00D3478B"/>
    <w:rsid w:val="00D35E12"/>
    <w:rsid w:val="00D40074"/>
    <w:rsid w:val="00D413DD"/>
    <w:rsid w:val="00D4189D"/>
    <w:rsid w:val="00D424E3"/>
    <w:rsid w:val="00D42604"/>
    <w:rsid w:val="00D43436"/>
    <w:rsid w:val="00D4389A"/>
    <w:rsid w:val="00D4436A"/>
    <w:rsid w:val="00D45829"/>
    <w:rsid w:val="00D45DEF"/>
    <w:rsid w:val="00D45FB7"/>
    <w:rsid w:val="00D46347"/>
    <w:rsid w:val="00D46954"/>
    <w:rsid w:val="00D51E72"/>
    <w:rsid w:val="00D52C3F"/>
    <w:rsid w:val="00D534EA"/>
    <w:rsid w:val="00D540A4"/>
    <w:rsid w:val="00D54DBC"/>
    <w:rsid w:val="00D56A85"/>
    <w:rsid w:val="00D570F3"/>
    <w:rsid w:val="00D61C85"/>
    <w:rsid w:val="00D624E5"/>
    <w:rsid w:val="00D634A8"/>
    <w:rsid w:val="00D64C3D"/>
    <w:rsid w:val="00D65A1C"/>
    <w:rsid w:val="00D67099"/>
    <w:rsid w:val="00D71939"/>
    <w:rsid w:val="00D72D27"/>
    <w:rsid w:val="00D73317"/>
    <w:rsid w:val="00D743C8"/>
    <w:rsid w:val="00D743DA"/>
    <w:rsid w:val="00D744B5"/>
    <w:rsid w:val="00D745B1"/>
    <w:rsid w:val="00D74C5F"/>
    <w:rsid w:val="00D753F3"/>
    <w:rsid w:val="00D862F0"/>
    <w:rsid w:val="00D87832"/>
    <w:rsid w:val="00D9045B"/>
    <w:rsid w:val="00D90EA9"/>
    <w:rsid w:val="00D941C3"/>
    <w:rsid w:val="00D947D6"/>
    <w:rsid w:val="00D94A99"/>
    <w:rsid w:val="00D95324"/>
    <w:rsid w:val="00D95482"/>
    <w:rsid w:val="00DA02C2"/>
    <w:rsid w:val="00DA0390"/>
    <w:rsid w:val="00DA1940"/>
    <w:rsid w:val="00DA1FBA"/>
    <w:rsid w:val="00DA3C3C"/>
    <w:rsid w:val="00DA7C54"/>
    <w:rsid w:val="00DB05EC"/>
    <w:rsid w:val="00DB166E"/>
    <w:rsid w:val="00DB3D8C"/>
    <w:rsid w:val="00DB43B8"/>
    <w:rsid w:val="00DB7BD1"/>
    <w:rsid w:val="00DB7C8A"/>
    <w:rsid w:val="00DC0005"/>
    <w:rsid w:val="00DC2DC5"/>
    <w:rsid w:val="00DC341B"/>
    <w:rsid w:val="00DD35E7"/>
    <w:rsid w:val="00DD5486"/>
    <w:rsid w:val="00DD650E"/>
    <w:rsid w:val="00DD7172"/>
    <w:rsid w:val="00DD7968"/>
    <w:rsid w:val="00DE0B7E"/>
    <w:rsid w:val="00DE1418"/>
    <w:rsid w:val="00DE1AB7"/>
    <w:rsid w:val="00DE1E9C"/>
    <w:rsid w:val="00DE2205"/>
    <w:rsid w:val="00DE421E"/>
    <w:rsid w:val="00DE5454"/>
    <w:rsid w:val="00DE6A8B"/>
    <w:rsid w:val="00DE7F41"/>
    <w:rsid w:val="00DF0F50"/>
    <w:rsid w:val="00DF2309"/>
    <w:rsid w:val="00DF28DC"/>
    <w:rsid w:val="00DF3915"/>
    <w:rsid w:val="00DF44AC"/>
    <w:rsid w:val="00DF4CE2"/>
    <w:rsid w:val="00E0168F"/>
    <w:rsid w:val="00E035F2"/>
    <w:rsid w:val="00E06EB8"/>
    <w:rsid w:val="00E11220"/>
    <w:rsid w:val="00E12071"/>
    <w:rsid w:val="00E12660"/>
    <w:rsid w:val="00E12838"/>
    <w:rsid w:val="00E15BBF"/>
    <w:rsid w:val="00E15ECD"/>
    <w:rsid w:val="00E23F00"/>
    <w:rsid w:val="00E2599A"/>
    <w:rsid w:val="00E2672D"/>
    <w:rsid w:val="00E26A0F"/>
    <w:rsid w:val="00E30F48"/>
    <w:rsid w:val="00E318D4"/>
    <w:rsid w:val="00E339EE"/>
    <w:rsid w:val="00E3557A"/>
    <w:rsid w:val="00E4014C"/>
    <w:rsid w:val="00E401FC"/>
    <w:rsid w:val="00E42D1B"/>
    <w:rsid w:val="00E46C0B"/>
    <w:rsid w:val="00E46FAB"/>
    <w:rsid w:val="00E474DC"/>
    <w:rsid w:val="00E5155C"/>
    <w:rsid w:val="00E530FD"/>
    <w:rsid w:val="00E55EA9"/>
    <w:rsid w:val="00E56307"/>
    <w:rsid w:val="00E56D55"/>
    <w:rsid w:val="00E56F52"/>
    <w:rsid w:val="00E57F76"/>
    <w:rsid w:val="00E60696"/>
    <w:rsid w:val="00E62028"/>
    <w:rsid w:val="00E6393C"/>
    <w:rsid w:val="00E67E51"/>
    <w:rsid w:val="00E76BE0"/>
    <w:rsid w:val="00E7790B"/>
    <w:rsid w:val="00E814E4"/>
    <w:rsid w:val="00E81714"/>
    <w:rsid w:val="00E82F85"/>
    <w:rsid w:val="00E87BD7"/>
    <w:rsid w:val="00E91546"/>
    <w:rsid w:val="00E91678"/>
    <w:rsid w:val="00E9206E"/>
    <w:rsid w:val="00E93438"/>
    <w:rsid w:val="00E93ABF"/>
    <w:rsid w:val="00E93F64"/>
    <w:rsid w:val="00E96737"/>
    <w:rsid w:val="00EA0008"/>
    <w:rsid w:val="00EA0668"/>
    <w:rsid w:val="00EA0772"/>
    <w:rsid w:val="00EA127F"/>
    <w:rsid w:val="00EA1F53"/>
    <w:rsid w:val="00EA4376"/>
    <w:rsid w:val="00EA56F5"/>
    <w:rsid w:val="00EA70DC"/>
    <w:rsid w:val="00EB01FF"/>
    <w:rsid w:val="00EB06C6"/>
    <w:rsid w:val="00EB1B47"/>
    <w:rsid w:val="00EB46E1"/>
    <w:rsid w:val="00EB7BD6"/>
    <w:rsid w:val="00EC1609"/>
    <w:rsid w:val="00EC20FD"/>
    <w:rsid w:val="00EC2EF8"/>
    <w:rsid w:val="00EC3DAC"/>
    <w:rsid w:val="00EC42FF"/>
    <w:rsid w:val="00EC4A38"/>
    <w:rsid w:val="00EC53A0"/>
    <w:rsid w:val="00EC5A73"/>
    <w:rsid w:val="00EC6734"/>
    <w:rsid w:val="00ED2C11"/>
    <w:rsid w:val="00ED3B7C"/>
    <w:rsid w:val="00ED3D0C"/>
    <w:rsid w:val="00ED4AEF"/>
    <w:rsid w:val="00ED570E"/>
    <w:rsid w:val="00ED5CFE"/>
    <w:rsid w:val="00ED7B4B"/>
    <w:rsid w:val="00EE005A"/>
    <w:rsid w:val="00EE05CF"/>
    <w:rsid w:val="00EE10AE"/>
    <w:rsid w:val="00EE2DA2"/>
    <w:rsid w:val="00EE4290"/>
    <w:rsid w:val="00EE4EE8"/>
    <w:rsid w:val="00EE589E"/>
    <w:rsid w:val="00EE76D0"/>
    <w:rsid w:val="00EE7C89"/>
    <w:rsid w:val="00EF1185"/>
    <w:rsid w:val="00EF6CCD"/>
    <w:rsid w:val="00EF754D"/>
    <w:rsid w:val="00F027E9"/>
    <w:rsid w:val="00F0775E"/>
    <w:rsid w:val="00F078AE"/>
    <w:rsid w:val="00F107C7"/>
    <w:rsid w:val="00F157CC"/>
    <w:rsid w:val="00F15F69"/>
    <w:rsid w:val="00F1612D"/>
    <w:rsid w:val="00F16D8C"/>
    <w:rsid w:val="00F17069"/>
    <w:rsid w:val="00F173DD"/>
    <w:rsid w:val="00F21119"/>
    <w:rsid w:val="00F23729"/>
    <w:rsid w:val="00F25164"/>
    <w:rsid w:val="00F277D3"/>
    <w:rsid w:val="00F30997"/>
    <w:rsid w:val="00F32896"/>
    <w:rsid w:val="00F33C08"/>
    <w:rsid w:val="00F41AE7"/>
    <w:rsid w:val="00F41F44"/>
    <w:rsid w:val="00F42D17"/>
    <w:rsid w:val="00F42D5D"/>
    <w:rsid w:val="00F448B1"/>
    <w:rsid w:val="00F457A0"/>
    <w:rsid w:val="00F46492"/>
    <w:rsid w:val="00F477B5"/>
    <w:rsid w:val="00F47B01"/>
    <w:rsid w:val="00F5057E"/>
    <w:rsid w:val="00F53410"/>
    <w:rsid w:val="00F541F8"/>
    <w:rsid w:val="00F5470A"/>
    <w:rsid w:val="00F551E6"/>
    <w:rsid w:val="00F5563D"/>
    <w:rsid w:val="00F56891"/>
    <w:rsid w:val="00F6456C"/>
    <w:rsid w:val="00F64CD4"/>
    <w:rsid w:val="00F65AB2"/>
    <w:rsid w:val="00F67418"/>
    <w:rsid w:val="00F73E78"/>
    <w:rsid w:val="00F740C2"/>
    <w:rsid w:val="00F7591E"/>
    <w:rsid w:val="00F75EF9"/>
    <w:rsid w:val="00F77A9B"/>
    <w:rsid w:val="00F812FC"/>
    <w:rsid w:val="00F823B0"/>
    <w:rsid w:val="00F8271B"/>
    <w:rsid w:val="00F83035"/>
    <w:rsid w:val="00F866B0"/>
    <w:rsid w:val="00F869EF"/>
    <w:rsid w:val="00F86BE4"/>
    <w:rsid w:val="00F86C7B"/>
    <w:rsid w:val="00F86D61"/>
    <w:rsid w:val="00F87E89"/>
    <w:rsid w:val="00F905B6"/>
    <w:rsid w:val="00F90B31"/>
    <w:rsid w:val="00F914B2"/>
    <w:rsid w:val="00F926B9"/>
    <w:rsid w:val="00F9541D"/>
    <w:rsid w:val="00FA0403"/>
    <w:rsid w:val="00FA38EB"/>
    <w:rsid w:val="00FA597D"/>
    <w:rsid w:val="00FA5B9A"/>
    <w:rsid w:val="00FB01B9"/>
    <w:rsid w:val="00FB3351"/>
    <w:rsid w:val="00FB763A"/>
    <w:rsid w:val="00FB79C0"/>
    <w:rsid w:val="00FC2EB8"/>
    <w:rsid w:val="00FC5C43"/>
    <w:rsid w:val="00FC7FA4"/>
    <w:rsid w:val="00FD1598"/>
    <w:rsid w:val="00FD576E"/>
    <w:rsid w:val="00FD596B"/>
    <w:rsid w:val="00FD77E5"/>
    <w:rsid w:val="00FD7CBA"/>
    <w:rsid w:val="00FE0D94"/>
    <w:rsid w:val="00FE58CC"/>
    <w:rsid w:val="00FE658B"/>
    <w:rsid w:val="00FE75A9"/>
    <w:rsid w:val="00FF058D"/>
    <w:rsid w:val="00FF1D8E"/>
    <w:rsid w:val="00FF2440"/>
    <w:rsid w:val="00FF2E11"/>
    <w:rsid w:val="00FF322C"/>
    <w:rsid w:val="00FF3FFC"/>
    <w:rsid w:val="00FF4567"/>
    <w:rsid w:val="00FF7745"/>
    <w:rsid w:val="00FF7BCB"/>
    <w:rsid w:val="00FF7C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3D42FC12-3A14-479A-81C0-DDA2CEC1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link w:val="FooterChar"/>
    <w:uiPriority w:val="99"/>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link w:val="FootnoteTextChar"/>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paragraph" w:styleId="DocumentMap">
    <w:name w:val="Document Map"/>
    <w:basedOn w:val="Normal"/>
    <w:link w:val="DocumentMapChar"/>
    <w:uiPriority w:val="99"/>
    <w:semiHidden/>
    <w:unhideWhenUsed/>
    <w:rsid w:val="007C7016"/>
    <w:rPr>
      <w:rFonts w:ascii="Tahoma" w:hAnsi="Tahoma" w:cs="Tahoma"/>
      <w:sz w:val="16"/>
      <w:szCs w:val="16"/>
    </w:rPr>
  </w:style>
  <w:style w:type="character" w:customStyle="1" w:styleId="DocumentMapChar">
    <w:name w:val="Document Map Char"/>
    <w:basedOn w:val="DefaultParagraphFont"/>
    <w:link w:val="DocumentMap"/>
    <w:uiPriority w:val="99"/>
    <w:semiHidden/>
    <w:rsid w:val="007C7016"/>
    <w:rPr>
      <w:rFonts w:ascii="Tahoma" w:hAnsi="Tahoma" w:cs="Tahoma"/>
      <w:sz w:val="16"/>
      <w:szCs w:val="16"/>
    </w:rPr>
  </w:style>
  <w:style w:type="paragraph" w:styleId="EndnoteText">
    <w:name w:val="endnote text"/>
    <w:basedOn w:val="Normal"/>
    <w:link w:val="EndnoteTextChar"/>
    <w:uiPriority w:val="99"/>
    <w:semiHidden/>
    <w:unhideWhenUsed/>
    <w:rsid w:val="00B716EC"/>
  </w:style>
  <w:style w:type="character" w:customStyle="1" w:styleId="EndnoteTextChar">
    <w:name w:val="Endnote Text Char"/>
    <w:basedOn w:val="DefaultParagraphFont"/>
    <w:link w:val="EndnoteText"/>
    <w:uiPriority w:val="99"/>
    <w:semiHidden/>
    <w:rsid w:val="00B716EC"/>
  </w:style>
  <w:style w:type="character" w:styleId="EndnoteReference">
    <w:name w:val="endnote reference"/>
    <w:basedOn w:val="DefaultParagraphFont"/>
    <w:uiPriority w:val="99"/>
    <w:semiHidden/>
    <w:unhideWhenUsed/>
    <w:rsid w:val="00B716EC"/>
    <w:rPr>
      <w:vertAlign w:val="superscript"/>
    </w:rPr>
  </w:style>
  <w:style w:type="character" w:customStyle="1" w:styleId="FooterChar">
    <w:name w:val="Footer Char"/>
    <w:basedOn w:val="DefaultParagraphFont"/>
    <w:link w:val="Footer"/>
    <w:uiPriority w:val="99"/>
    <w:rsid w:val="00FF3FFC"/>
  </w:style>
  <w:style w:type="character" w:styleId="CommentReference">
    <w:name w:val="annotation reference"/>
    <w:basedOn w:val="DefaultParagraphFont"/>
    <w:uiPriority w:val="99"/>
    <w:semiHidden/>
    <w:unhideWhenUsed/>
    <w:rsid w:val="00D862F0"/>
    <w:rPr>
      <w:sz w:val="16"/>
      <w:szCs w:val="16"/>
    </w:rPr>
  </w:style>
  <w:style w:type="paragraph" w:styleId="CommentText">
    <w:name w:val="annotation text"/>
    <w:basedOn w:val="Normal"/>
    <w:link w:val="CommentTextChar"/>
    <w:uiPriority w:val="99"/>
    <w:unhideWhenUsed/>
    <w:rsid w:val="00D862F0"/>
  </w:style>
  <w:style w:type="character" w:customStyle="1" w:styleId="CommentTextChar">
    <w:name w:val="Comment Text Char"/>
    <w:basedOn w:val="DefaultParagraphFont"/>
    <w:link w:val="CommentText"/>
    <w:uiPriority w:val="99"/>
    <w:rsid w:val="00D862F0"/>
  </w:style>
  <w:style w:type="character" w:customStyle="1" w:styleId="FootnoteTextChar">
    <w:name w:val="Footnote Text Char"/>
    <w:basedOn w:val="DefaultParagraphFont"/>
    <w:link w:val="FootnoteText"/>
    <w:semiHidden/>
    <w:rsid w:val="00006142"/>
    <w:rPr>
      <w:rFonts w:cs="Traditional Arabic"/>
      <w:lang w:eastAsia="ko-KR"/>
    </w:rPr>
  </w:style>
  <w:style w:type="paragraph" w:customStyle="1" w:styleId="TitleColumnHeading">
    <w:name w:val="Title Column Heading"/>
    <w:basedOn w:val="Normal"/>
    <w:rsid w:val="00E530FD"/>
    <w:pPr>
      <w:tabs>
        <w:tab w:val="right" w:pos="8640"/>
      </w:tabs>
      <w:spacing w:line="480" w:lineRule="auto"/>
      <w:jc w:val="center"/>
    </w:pPr>
    <w:rPr>
      <w:sz w:val="24"/>
    </w:rPr>
  </w:style>
  <w:style w:type="paragraph" w:customStyle="1" w:styleId="TableBody">
    <w:name w:val="Table Body"/>
    <w:basedOn w:val="Normal"/>
    <w:rsid w:val="00E530FD"/>
    <w:pPr>
      <w:tabs>
        <w:tab w:val="right" w:pos="8640"/>
      </w:tabs>
      <w:spacing w:line="480" w:lineRule="auto"/>
      <w:jc w:val="center"/>
    </w:pPr>
    <w:rPr>
      <w:color w:val="000000"/>
      <w:sz w:val="24"/>
      <w:szCs w:val="24"/>
    </w:rPr>
  </w:style>
  <w:style w:type="character" w:customStyle="1" w:styleId="FigureCaptionLabelChar">
    <w:name w:val="Figure Caption Label Char"/>
    <w:rsid w:val="00E530FD"/>
    <w:rPr>
      <w:rFonts w:ascii="Garamond" w:hAnsi="Garamond"/>
      <w:i/>
      <w:sz w:val="24"/>
      <w:szCs w:val="24"/>
      <w:lang w:val="en-US" w:eastAsia="en-US" w:bidi="ar-SA"/>
    </w:rPr>
  </w:style>
  <w:style w:type="paragraph" w:customStyle="1" w:styleId="Firstparagraphstyle">
    <w:name w:val="First paragraph style"/>
    <w:basedOn w:val="Normal"/>
    <w:next w:val="Normal"/>
    <w:qFormat/>
    <w:rsid w:val="00E530FD"/>
    <w:pPr>
      <w:spacing w:line="480" w:lineRule="auto"/>
    </w:pPr>
    <w:rPr>
      <w:sz w:val="24"/>
      <w:szCs w:val="24"/>
      <w:lang w:val="en-GB" w:eastAsia="en-GB"/>
    </w:rPr>
  </w:style>
  <w:style w:type="character" w:customStyle="1" w:styleId="jlqj4b">
    <w:name w:val="jlqj4b"/>
    <w:basedOn w:val="DefaultParagraphFont"/>
    <w:rsid w:val="00193E6A"/>
  </w:style>
  <w:style w:type="paragraph" w:customStyle="1" w:styleId="EndNoteBibliography">
    <w:name w:val="EndNote Bibliography"/>
    <w:basedOn w:val="Normal"/>
    <w:link w:val="EndNoteBibliographyChar"/>
    <w:rsid w:val="00C02606"/>
    <w:pPr>
      <w:spacing w:after="200"/>
      <w:jc w:val="both"/>
    </w:pPr>
    <w:rPr>
      <w:rFonts w:ascii="Calibri" w:eastAsiaTheme="minorEastAsia" w:hAnsi="Calibri" w:cs="Calibri"/>
      <w:noProof/>
      <w:sz w:val="22"/>
      <w:szCs w:val="22"/>
    </w:rPr>
  </w:style>
  <w:style w:type="character" w:customStyle="1" w:styleId="EndNoteBibliographyChar">
    <w:name w:val="EndNote Bibliography Char"/>
    <w:basedOn w:val="DefaultParagraphFont"/>
    <w:link w:val="EndNoteBibliography"/>
    <w:rsid w:val="00C02606"/>
    <w:rPr>
      <w:rFonts w:ascii="Calibri" w:eastAsiaTheme="minorEastAsia" w:hAnsi="Calibri" w:cs="Calibri"/>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369690743">
      <w:bodyDiv w:val="1"/>
      <w:marLeft w:val="0"/>
      <w:marRight w:val="0"/>
      <w:marTop w:val="0"/>
      <w:marBottom w:val="0"/>
      <w:divBdr>
        <w:top w:val="none" w:sz="0" w:space="0" w:color="auto"/>
        <w:left w:val="none" w:sz="0" w:space="0" w:color="auto"/>
        <w:bottom w:val="none" w:sz="0" w:space="0" w:color="auto"/>
        <w:right w:val="none" w:sz="0" w:space="0" w:color="auto"/>
      </w:divBdr>
      <w:divsChild>
        <w:div w:id="1925725129">
          <w:marLeft w:val="0"/>
          <w:marRight w:val="0"/>
          <w:marTop w:val="0"/>
          <w:marBottom w:val="0"/>
          <w:divBdr>
            <w:top w:val="none" w:sz="0" w:space="0" w:color="auto"/>
            <w:left w:val="none" w:sz="0" w:space="0" w:color="auto"/>
            <w:bottom w:val="none" w:sz="0" w:space="0" w:color="auto"/>
            <w:right w:val="none" w:sz="0" w:space="0" w:color="auto"/>
          </w:divBdr>
          <w:divsChild>
            <w:div w:id="129271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63565017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356273706">
      <w:bodyDiv w:val="1"/>
      <w:marLeft w:val="0"/>
      <w:marRight w:val="0"/>
      <w:marTop w:val="0"/>
      <w:marBottom w:val="0"/>
      <w:divBdr>
        <w:top w:val="none" w:sz="0" w:space="0" w:color="auto"/>
        <w:left w:val="none" w:sz="0" w:space="0" w:color="auto"/>
        <w:bottom w:val="none" w:sz="0" w:space="0" w:color="auto"/>
        <w:right w:val="none" w:sz="0" w:space="0" w:color="auto"/>
      </w:divBdr>
      <w:divsChild>
        <w:div w:id="301272584">
          <w:marLeft w:val="0"/>
          <w:marRight w:val="0"/>
          <w:marTop w:val="0"/>
          <w:marBottom w:val="0"/>
          <w:divBdr>
            <w:top w:val="none" w:sz="0" w:space="0" w:color="auto"/>
            <w:left w:val="none" w:sz="0" w:space="0" w:color="auto"/>
            <w:bottom w:val="none" w:sz="0" w:space="0" w:color="auto"/>
            <w:right w:val="none" w:sz="0" w:space="0" w:color="auto"/>
          </w:divBdr>
          <w:divsChild>
            <w:div w:id="4896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799061081">
      <w:bodyDiv w:val="1"/>
      <w:marLeft w:val="0"/>
      <w:marRight w:val="0"/>
      <w:marTop w:val="0"/>
      <w:marBottom w:val="0"/>
      <w:divBdr>
        <w:top w:val="none" w:sz="0" w:space="0" w:color="auto"/>
        <w:left w:val="none" w:sz="0" w:space="0" w:color="auto"/>
        <w:bottom w:val="none" w:sz="0" w:space="0" w:color="auto"/>
        <w:right w:val="none" w:sz="0" w:space="0" w:color="auto"/>
      </w:divBdr>
      <w:divsChild>
        <w:div w:id="583564463">
          <w:marLeft w:val="0"/>
          <w:marRight w:val="0"/>
          <w:marTop w:val="0"/>
          <w:marBottom w:val="0"/>
          <w:divBdr>
            <w:top w:val="none" w:sz="0" w:space="0" w:color="auto"/>
            <w:left w:val="none" w:sz="0" w:space="0" w:color="auto"/>
            <w:bottom w:val="none" w:sz="0" w:space="0" w:color="auto"/>
            <w:right w:val="none" w:sz="0" w:space="0" w:color="auto"/>
          </w:divBdr>
          <w:divsChild>
            <w:div w:id="173461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ef.2020.100326" TargetMode="External"/><Relationship Id="rId13" Type="http://schemas.openxmlformats.org/officeDocument/2006/relationships/hyperlink" Target="https://doi.org/10.1016/j.jfineco.2021.03.005" TargetMode="External"/><Relationship Id="rId18" Type="http://schemas.openxmlformats.org/officeDocument/2006/relationships/hyperlink" Target="https://doi.org/10.21744/lingcure.v5nS1.1723"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i.org/10.1016/j.iimb.2018.08.005" TargetMode="External"/><Relationship Id="rId7" Type="http://schemas.openxmlformats.org/officeDocument/2006/relationships/endnotes" Target="endnotes.xml"/><Relationship Id="rId12" Type="http://schemas.openxmlformats.org/officeDocument/2006/relationships/hyperlink" Target="https://doi.org/10.1016/j.ijhm.2005.11.004" TargetMode="External"/><Relationship Id="rId17" Type="http://schemas.openxmlformats.org/officeDocument/2006/relationships/hyperlink" Target="https://doi.org/10.21744/lingcure.v5nS1.1452"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i.org/10.1016/j.irfa.2017.12.004" TargetMode="External"/><Relationship Id="rId20" Type="http://schemas.openxmlformats.org/officeDocument/2006/relationships/hyperlink" Target="https://doi.org/10.1016/j.heliyon.2021.e0645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busres.2016.02.007"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16/j.iimb.2018.01.007" TargetMode="External"/><Relationship Id="rId23" Type="http://schemas.openxmlformats.org/officeDocument/2006/relationships/hyperlink" Target="https://doi.org/10.1016/j.jcorpfin.2016.09.009" TargetMode="External"/><Relationship Id="rId28" Type="http://schemas.openxmlformats.org/officeDocument/2006/relationships/fontTable" Target="fontTable.xml"/><Relationship Id="rId10" Type="http://schemas.openxmlformats.org/officeDocument/2006/relationships/hyperlink" Target="https://doi.org/10.1016/0304-405X(81)90018-0" TargetMode="External"/><Relationship Id="rId19" Type="http://schemas.openxmlformats.org/officeDocument/2006/relationships/hyperlink" Target="https://doi.org/10.21744/irjmis.v7n1.827" TargetMode="External"/><Relationship Id="rId4" Type="http://schemas.openxmlformats.org/officeDocument/2006/relationships/settings" Target="settings.xml"/><Relationship Id="rId9" Type="http://schemas.openxmlformats.org/officeDocument/2006/relationships/hyperlink" Target="https://doi.org/10.1016/j.jacceco.2004.01.004" TargetMode="External"/><Relationship Id="rId14" Type="http://schemas.openxmlformats.org/officeDocument/2006/relationships/hyperlink" Target="https://doi.org/10.1016/j.finmar.2016.12.003" TargetMode="External"/><Relationship Id="rId22" Type="http://schemas.openxmlformats.org/officeDocument/2006/relationships/hyperlink" Target="https://doi.org/10.1016/j.jue.2006.12.007"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rif@widyadharma.ac.id"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doi.org/10.21744/lingcure.v5nS3.17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4CA81-EE84-4380-AB9E-86D83B2D0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TotalTime>
  <Pages>9</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Scopus</vt:lpstr>
    </vt:vector>
  </TitlesOfParts>
  <Company>cairo</Company>
  <LinksUpToDate>false</LinksUpToDate>
  <CharactersWithSpaces>25240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Scopus</dc:title>
  <dc:creator>LingCuRe</dc:creator>
  <cp:lastModifiedBy>WINDOWS</cp:lastModifiedBy>
  <cp:revision>133</cp:revision>
  <cp:lastPrinted>2019-06-30T06:08:00Z</cp:lastPrinted>
  <dcterms:created xsi:type="dcterms:W3CDTF">2017-04-20T05:23:00Z</dcterms:created>
  <dcterms:modified xsi:type="dcterms:W3CDTF">2021-11-12T08:35:00Z</dcterms:modified>
</cp:coreProperties>
</file>